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4D_196/2024 vom 31. März 2025</w:t>
      </w:r>
    </w:p>
    <w:p>
      <w:r>
        <w:t>Bundesgericht, 2025-03-31, DE</w:t>
      </w:r>
    </w:p>
    <w:p>
      <w:r>
        <w:rPr>
          <w:b/>
        </w:rPr>
        <w:t xml:space="preserve">Quelle: </w:t>
      </w:r>
      <w:r>
        <w:t>https://mcp.opencaselaw.ch/entscheid/bger_4D_196_2024</w:t>
      </w:r>
    </w:p>
    <w:p>
      <w:r>
        <w:t>FR: TF 4D_196/2024 du 31 mars 2025</w:t>
      </w:r>
    </w:p>
    <w:p>
      <w:r>
        <w:t>IT: TF 4D_196/2024 del 31 marzo 2025</w:t>
      </w:r>
    </w:p>
    <w:p>
      <w:pPr>
        <w:pStyle w:val="Heading2"/>
      </w:pPr>
      <w:r>
        <w:t>Erwägungen</w:t>
      </w:r>
    </w:p>
    <w:p>
      <w:r>
        <w:rPr>
          <w:b/>
        </w:rPr>
        <w:t>E. 1.1</w:t>
      </w:r>
    </w:p>
    <w:p>
      <w:r>
        <w:t>Mit Entscheid vom 7. August 2024 erteilte das Bezirksgericht Brig, Östlich-Raron und Goms dem Beschwerdegegner in der Betreibung Nr. xxx des Betreibungsamtes Oberwallis die definitive Rechtsöffnung für einen Betrag von Fr. 4'097.80 nebst Zins zu 3.5% seit dem 2. Mai 2024, für Verzugszinsen bis zum 1. Mai 2024 von Fr. 293.-- und für Verwaltungsgebühren von Fr. 150.--.</w:t>
      </w:r>
    </w:p>
    <w:p>
      <w:r>
        <w:rPr>
          <w:b/>
        </w:rPr>
        <w:t>E. 1.2</w:t>
      </w:r>
    </w:p>
    <w:p>
      <w:r>
        <w:t>Mit Entscheid vom 15. November 2024 wies das Kantonsgericht Wallis die vom Beschwerdeführer gegen den Entscheid des Bezirksgerichts Brig, Östlich-Raron und Goms vom 7. August 2024 erhobene Beschwerde ab.</w:t>
      </w:r>
    </w:p>
    <w:p>
      <w:r>
        <w:rPr>
          <w:b/>
        </w:rPr>
        <w:t>E. 1.3</w:t>
      </w:r>
    </w:p>
    <w:p>
      <w:r>
        <w:t>Mit Eingabe vom 14. Dezember 2024 (Postaufgabe 19. Dezember 2024) erklärte der Beschwerdeführer dem Bundesgericht, Beschwerde gegen den Entscheid des Kantonsgerichts Wallis vom 15. November 2024 führen zu wollen.</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Der Streitwert erreicht die Streitwertgrenze für eine Beschwerde in Zivilsachen gemäss Art. 74 Abs. 1 lit. a BGG nicht. Diese ist daher nur zulässig, wenn sich eine Rechtsfrage von grundsätzlicher Bedeutung stellt ( Art. 74 Abs. 2 lit. a BGG ), was die beschwerdeführende Partei aufzuzeigen hat ( Art. 42 Abs. 2 Satz 2 BGG ).</w:t>
      </w:r>
    </w:p>
    <w:p>
      <w:r>
        <w:t>Der Beschwerdeführer behauptet nicht, dass sich eine Rechtsfrage von grundsätzlicher Bedeutung stellt. Es ist auch nicht ersichtlich, inwiefern sich eine solche stellen könnte. Somit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rPr>
          <w:b/>
        </w:rPr>
        <w:t>E. 2.4</w:t>
      </w:r>
    </w:p>
    <w:p>
      <w:r>
        <w:t>Die Vorinstanz erwog im Wesentlichen, dass die am 7. September 2023 an den Beschwerdeführer versandte ordentliche Steuerveranlagung 2022 in Rechtskraft erwachsen sei. Der Beschwerdeführer habe weder gegen die ordentliche Veranlagungsverfügung vom 7. September 2023 noch gegen die Abzahlungsvereinbarung vom 28. November 2023 Einsprache erhoben. Er habe zudem die erste Rate bezahlt und damit die ausstehende Steuerschuld durch Teiltilgung anerkannt. Die Veranlagungsverfügung sowie die Abzahlungsvereinbarung seien vollstreckbar. Die Vorinstanz erwog weiter, dass bei der Festsetzung der Steuern der Steuerverwaltung von Gesetzes wegen hoheitliche Befugnisse zukommen und ihnen damit verbundene Verfügungskompetenzen zustehen würde. Die rechtskräftige Veranlagung der mit dem Vollzug des Steuergesetzes betrauten Behörden würde vollstreckbaren Gerichtsurteilen im Sinne von Art. 80 SchKG gleichgestellt und berechtigten zur definitiven Rechtsöffnung.</w:t>
      </w:r>
    </w:p>
    <w:p>
      <w:r>
        <w:rPr>
          <w:b/>
        </w:rPr>
        <w:t>E. 2.5</w:t>
      </w:r>
    </w:p>
    <w:p>
      <w:r>
        <w:t>Der subsidiären Verfassungsbeschwerde vor Bundesgericht kann somit nur Erfolg beschieden sein, wenn der Beschwerdeführer hinreichend begründet, inwiefern die Vorinstanz in Anwendung der Voraussetzungen von Art. 80 SchKG durch die Erteilung der definitiven Rechtsöffnung verfassungsmässige Rechte verletzt hätte.</w:t>
      </w:r>
    </w:p>
    <w:p>
      <w:r>
        <w:t>Der Beschwerdeführer schildert indes über weite Strecken unzulässigerweise seine eigene Sicht der Dinge, indem er den Steuerbehörden und den Vorinstanzen die hoheitlichen Befugnisse abspricht und ihnen Amtsanmassung vorwirft, da sie heimlich und illegal in Kapitalgesellschaften umgewandelt worden seien. Mit dem Rechtsöffnungsentscheid in Sachen Steuern sei " sein verfassungsmässig garantierter Anspruch auf Einhaltung der Grundrechte durch ALLE Handlungen ALLER staatlicher Organe und Instanzen elementar verletzt " worden. Im Besonderen nennt er das Legalitätsprinzip gemäss Art. 9 BV und das Willkürverbot gemäss Art. 9 BV . Zudem sei durch die illegale Umwandlung der staatlichen Instanzen und Organe in Holdingstrukturen die Voraussetzungen zur Gründung von Kapitalgesellschaften verletzt worden. Der Beschwerdeführer leitet daraus die Nichtigkeit der bisher erfolgten Urteile und Verfügungen ab.</w:t>
      </w:r>
    </w:p>
    <w:p>
      <w:r>
        <w:t>Damit verfehlt der Beschwerdeführer offensichtlich die gesetzlichen Begründungsanforderungen an eine subsidiäre Verfassungsbeschwerde. Er begründet offensichtlich nicht hinreichend klar und detailliert anhand der Erwägungen des angefochtenen Entscheids, inwiefern seine verfassungsmässigen Rechte verletzt worden sein sollen.</w:t>
      </w:r>
    </w:p>
    <w:p>
      <w:r>
        <w:t>Auf die Beschwerde ist somit im vereinfachten Verfahren gemäss Art. 108 Abs. 1 lit. b BGG nicht einzutreten.</w:t>
      </w:r>
    </w:p>
    <w:p>
      <w:r>
        <w:rPr>
          <w:b/>
        </w:rPr>
        <w:t>E. 2.6</w:t>
      </w:r>
    </w:p>
    <w:p>
      <w:r>
        <w:t>Soweit der Beschwerdeführer vor Bundesgericht gegenüber den kantonalen Gerichten und ihren Mitgliedern eine "Pönale" gestützt auf das ihm durch die behauptete Umwandlung und durch Amtsanmassung widerfahrene Unrecht geltend macht, ist die Beschwerde offensichtlich unzulässig, da dieser behauptete Anspruch nicht Gegenstand des vorliegenden Rechtsöffnungsverfahrens bildet.</w:t>
      </w:r>
    </w:p>
    <w:p>
      <w:r>
        <w:t>Auf die Beschwerde ist somit auch gemäss Art. 108 Abs. 1 lit. a BGG nicht einzutreten.</w:t>
      </w:r>
    </w:p>
    <w:p>
      <w:r>
        <w:rPr>
          <w:b/>
        </w:rPr>
        <w:t>E. 3</w:t>
      </w:r>
    </w:p>
    <w:p>
      <w:r>
        <w:t>Der Beschwerdeführer wird bei diesem Verfahrensausgang kostenpflichtig ( Art. 66 Abs. 1 BGG ).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