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4D_193/2024 vom 5. Februar 2025</w:t>
      </w:r>
    </w:p>
    <w:p>
      <w:r>
        <w:t>Bundesgericht, 2025-02-05, DE</w:t>
      </w:r>
    </w:p>
    <w:p>
      <w:r>
        <w:rPr>
          <w:b/>
        </w:rPr>
        <w:t xml:space="preserve">Quelle: </w:t>
      </w:r>
      <w:r>
        <w:t>https://mcp.opencaselaw.ch/entscheid/bger_4D_193_2024</w:t>
      </w:r>
    </w:p>
    <w:p>
      <w:r>
        <w:t>FR: TF 4D_193/2024 du 5 février 2025</w:t>
      </w:r>
    </w:p>
    <w:p>
      <w:r>
        <w:t>IT: TF 4D_193/2024 del 5 febbraio 2025</w:t>
      </w:r>
    </w:p>
    <w:p>
      <w:pPr>
        <w:pStyle w:val="Heading2"/>
      </w:pPr>
      <w:r>
        <w:t>Erwägungen</w:t>
      </w:r>
    </w:p>
    <w:p>
      <w:r>
        <w:rPr>
          <w:b/>
        </w:rPr>
        <w:t>E. 1</w:t>
      </w:r>
    </w:p>
    <w:p>
      <w:r>
        <w:t>Mit Entscheid vom 21. August 2024 erteilte der Präsident des Bezirksgerichts Baden der Beschwerdegegnerin in der Betreibung Nr. xxx des Betreibungsamtes U.________ (Zahlungsbefehl vom 10. Juli 2023) definitive Rechtsöffnung für Fr. 2'062.-- nebst Zins zu 5 % seit 4. Juli 2023. Dagegen erhob der Beschwerdeführer Beschwerde an das Obergericht des Kantons Aargau. Mit Entscheid vom 31. Oktober 2024 trat das Obergericht auf die Beschwerde nicht ein. Gegen diesen Entscheid erhebt der Beschwerdeführer mit Eingabe vom 11. Dezember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2'062.--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