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4D_18/2025 vom 2. April 2025</w:t>
      </w:r>
    </w:p>
    <w:p>
      <w:r>
        <w:t>Bundesgericht, 2025-04-02, DE</w:t>
      </w:r>
    </w:p>
    <w:p>
      <w:r>
        <w:rPr>
          <w:b/>
        </w:rPr>
        <w:t xml:space="preserve">Quelle: </w:t>
      </w:r>
      <w:r>
        <w:t>https://mcp.opencaselaw.ch/entscheid/bger_4D_18_2025</w:t>
      </w:r>
    </w:p>
    <w:p>
      <w:r>
        <w:t>FR: TF 4D_18/2025 du 2 avril 2025</w:t>
      </w:r>
    </w:p>
    <w:p>
      <w:r>
        <w:t>IT: TF 4D_18/2025 del 2 aprile 2025</w:t>
      </w:r>
    </w:p>
    <w:p>
      <w:pPr>
        <w:pStyle w:val="Heading2"/>
      </w:pPr>
      <w:r>
        <w:t>Erwägungen</w:t>
      </w:r>
    </w:p>
    <w:p>
      <w:r>
        <w:rPr>
          <w:b/>
        </w:rPr>
        <w:t>E. 1</w:t>
      </w:r>
    </w:p>
    <w:p>
      <w:r>
        <w:t>Am 11. Oktober 2024 ersuchte die Beschwerdegegnerin am Regionalgericht Bern-Mittelland in der Betreibung Nr. xxx des Betreibungsamtes Bern-Mittelland, Dienststelle Mittelland, um Erteilung der definitiven Rechtsöffnung für Fr. 80.--. Mit Entscheid vom 12. Dezember 2024 erteilte der Gerichtspräsident des Regionalgerichts Bern-Mittelland der Beschwerdegegnerin die definitive Rechtsöffnung über diesen Betrag. Die dagegen erhobene Beschwerde wies das Obergericht des Kantons Bern mit Entscheid vom 27. Januar 2025 ab, soweit es darauf eintrat.</w:t>
      </w:r>
    </w:p>
    <w:p>
      <w:r>
        <w:t>Gegen diesen Entscheid erhob B.________ für die Beschwerdeführerin Beschwerde an das Bundesgericht. Mit Verfügung vom 26. Februar 2025 wurde die Beschwerdeführerin darauf hingewiesen, dass B.________ sie vor Bundesgericht nicht vertreten könne und ihr wurde gleichzeitig eine Frist bis am 10. März 2025 gesetzt, diesen Mangel zu beheben. Am 3. März 2025 reichte die Beschwerdeführerin eine von ihr unterzeichnete Eingabe ein.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80.--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der Beschwerdeführerin erfüllt diese Begründungsanforderungen offensichtlich nicht. Sie schildert darin bloss ihre Sicht der Dinge. Sie geht indessen auf die Erwägungen der Vorinstanz nicht hinreichend konkret ein, geschweige denn zeigt sie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Bei diesem Ausgang des Verfahrens sind die Gerichtskosten der Beschwerdeführerin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