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4D_18/2020 vom 12. Mai 2020</w:t>
      </w:r>
    </w:p>
    <w:p>
      <w:r>
        <w:t>Bundesgericht, 2020-05-12, DE</w:t>
      </w:r>
    </w:p>
    <w:p>
      <w:r>
        <w:rPr>
          <w:b/>
        </w:rPr>
        <w:t xml:space="preserve">Quelle: </w:t>
      </w:r>
      <w:r>
        <w:t>https://mcp.opencaselaw.ch/entscheid/bger_4D_18_2020</w:t>
      </w:r>
    </w:p>
    <w:p>
      <w:r>
        <w:t>FR: TF 4D_18/2020 du 12 mai 2020</w:t>
      </w:r>
    </w:p>
    <w:p>
      <w:r>
        <w:t>IT: TF 4D_18/2020 del 12 maggio 2020</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Da der angefochtene Entscheid ein Endentscheid ( Art. 90 BGG ) ist, bestimmt sich der Streitwert nach den Begehren, die vor der Vorinstanz streitig geblieben waren ( Art. 51 Abs. 1 lit. a BGG ). In Fällen, in denen eine Beschwerde an das Bundesgericht einzig die Kosten des kantonalen Verfahrens zum Gegenstand hat und es schon im vorinstanzlichen Verfahren allein um die Kosten ging, bestimmt sich der Streitwert nach dem Betrag, in dem diese vor der Vorinstanz strittig waren ( BGE 143 III 46 E. 1 S. 47; 137 III 47 E. 1.2.2; Urteile 4D_65/2019 vom 19. Dezember 2019 E. 2.1; 4A_345/2018 vom 5. November 2018 E. 1.2.1).</w:t>
      </w:r>
    </w:p>
    <w:p>
      <w:r>
        <w:t>Vorliegend war vor der Vorinstanz die Hauptsache nicht mehr umstritten. Der Beschwerdeführer machte vor der Vorinstanz bloss geltend, die Erstinstanz habe den Streitwert falsch bemessen und in der Folge die Gerichtskosten zu hoch festgesetzt. Vor der Vorinstanz war somit einzig über den hälftigen Anteil der Gerichtskosten von Fr. 3'250.- zu entscheiden, der dem Beschwerdeführer durch die Erstinstanz auferlegt wurde. Der Streitwert erreicht damit den in mietrechtlichen Fällen geltenden Mindestbetrag von Fr. 15'000.-- gemäss Art. 74 Abs. 1 lit. a BGG nicht.</w:t>
      </w:r>
    </w:p>
    <w:p>
      <w:r>
        <w:rPr>
          <w:b/>
        </w:rPr>
        <w:t>E. 1.3</w:t>
      </w:r>
    </w:p>
    <w:p>
      <w:r>
        <w:t>Erreicht der Streitwert den massgebenden Betrag wie in casu nicht, ist die Beschwerde in Zivilsachen dennoch zulässig, wenn sich eine Rechtsfrage von grundsätzlicher Bedeutung stellt ( Art. 74 Abs. 2 lit. a BGG ), was die beschwerdeführende Partei aufzuzeigen hat ( Art. 42 Abs. 2 Satz 2 BGG ; BGE 136 II 489 E. 2.6; 133 III 439 E. 2.2.2.1, 645 E. 2.4).</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nur die subsidiäre Verfassungsbeschwerde im Sinne der Art. 113-119 BGG offen.</w:t>
      </w:r>
    </w:p>
    <w:p>
      <w:r>
        <w:rPr>
          <w:b/>
        </w:rPr>
        <w:t>E. 2.1</w:t>
      </w:r>
    </w:p>
    <w:p>
      <w:r>
        <w:t>Mit der subsidiären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t>Macht die beschwerdeführende Partei eine Verletzung des Willkürverbots von Art. 9 BV geltend, genügt es nicht, wenn sie einfach behauptet, der angefochtene Entscheid sei willkürlich. Sie hat vielmehr im Einzelnen aufzuzeigen, inwiefern dieser offensichtlich unhaltbar ist ( BGE 137 V 57 E. 1.3 S. 60; 134 II 349 E. 3 S. 352). Dass die vom Sachgericht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2.2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mit einer genügenden Begründung geltend zu machen hat ( BGE 136 I 332 E. 2.2; 133 III 439 E. 3.2 S. 445 mit Hinweis).</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Der Beschwerdeführer schildert die bisherigen Gerichtsverfahren aus seiner Sicht und stützt sich dabei auf den Inhalt der verschiedenen gerichtlichen Entscheide sowie seine jeweiligen Eingaben. Er beruft sich sodann auf den Inhalt des Kündigungsschreibens der Beschwerdegegnerin. Er geht dabei über die Feststellungen der Vorinstanz hinaus, ohne eine rechtsgenügliche Sachverhaltsrüge nach den genannten Grundsätzen zu erheben (Erwägung 2.2). Damit ist er im Folgenden nicht zu hören.</w:t>
      </w:r>
    </w:p>
    <w:p>
      <w:r>
        <w:rPr>
          <w:b/>
        </w:rPr>
        <w:t>E. 3.2</w:t>
      </w:r>
    </w:p>
    <w:p>
      <w:r>
        <w:t>Der Beschwerdeführer rügt die Verletzung von Art. 98 ZPO , Art. 271a OR und der kantonalen Gebührenverordnung. Darauf ist nicht einzutreten, da es sich dabei nicht um verfassungsmässige Rechte handelt.</w:t>
      </w:r>
    </w:p>
    <w:p>
      <w:r>
        <w:rPr>
          <w:b/>
        </w:rPr>
        <w:t>E. 3.3</w:t>
      </w:r>
    </w:p>
    <w:p>
      <w:r>
        <w:t>Der Beschwerdeführer beanstandet die vorinstanzliche Festsetzung des für die Bemessung der erstinstanzlichen Gerichtskosten massgebenden Streitwertes, als "nicht sachlich begründet". Er zeigt damit nicht rechtsgenüglich auf, inwiefern durch den Entscheid der Vorinstanz ein verfassungsmässiges Recht verletzt worden wäre, insbesondere macht er nicht hinreichend geltend, dass die Feststellung des Streitwertes willkürlich, also offensichtlich unrichtig wäre (Erwägung 2.1).</w:t>
      </w:r>
    </w:p>
    <w:p>
      <w:r>
        <w:t>Gleiches gilt, wenn der Beschwerdeführer ausführt, dass in der vorliegenden Situation in Anlehnung an die Regelung im aufgehobenen zürcherischen Gerichtsverfassungsgesetz von einem "unschätzbaren Streitwert" auszugehen sei. Auch dabei legt er nicht rechtsgenüglich dar, inwiefern die Vorinstanz bei der Bestimmung des erstinstanzlichen Streitwertes ein verfassungsmässiges Recht verletzt hätte.</w:t>
      </w:r>
    </w:p>
    <w:p>
      <w:r>
        <w:rPr>
          <w:b/>
        </w:rPr>
        <w:t>E. 3.4</w:t>
      </w:r>
    </w:p>
    <w:p>
      <w:r>
        <w:t>Der Beschwerdeführer wendet sich gegen den Beschluss des Mietgerichts vom 18. Juli 2019, mit dem ihm Frist zur Leistung eines Gerichtskostenvorschusses angesetzt wurde. Darauf ist ebenfalls nicht einzutreten, da dieser Beschluss nicht Gegenstand des angefochtenen Entscheids ist.</w:t>
      </w:r>
    </w:p>
    <w:p>
      <w:r>
        <w:t>Aus dem gleichen Grund gehen auch die Rügen des Beschwerdeführers gegen den Beschluss des Obergerichts vom 7. Oktober 2019 fehl, mit dem das Obergericht das Beschwerdeverfahren gegen den Beschluss des Mietgerichts vom 18. Juli 2019 abschrieb.</w:t>
      </w:r>
    </w:p>
    <w:p>
      <w:r>
        <w:rPr>
          <w:b/>
        </w:rPr>
        <w:t>E. 3.5</w:t>
      </w:r>
    </w:p>
    <w:p>
      <w:r>
        <w:t>Der Beschwerdeführer moniert, die "verfassungsrechtlichen Verfahrensgarantien (gleiche und gerechte Behandlung, Anspruch auf rechtliches Gehör, Rechtsweggarantie, etc.) " seien "umgangen" worden. Soweit er sich diesbezüglich erneut auf den vom Mietgericht verlangten Kostenvorschuss bezieht, kann auf das gerade Gesagte verwiesen werden (Erwägung 3.4). Im Übrigen zeigt er mit seinen pauschalen Behauptungen nicht rechtsgenüglich auf, inwiefern die genannten verfassungsmässigen Rechte verletzt wären (Erwägung 2.1). Auch darauf ist nicht einzutreten.</w:t>
      </w:r>
    </w:p>
    <w:p>
      <w:r>
        <w:rPr>
          <w:b/>
        </w:rPr>
        <w:t>E. 3.6</w:t>
      </w:r>
    </w:p>
    <w:p>
      <w:r>
        <w:t>Der Beschwerdeführer beanstandet den erstinstanzlichen Entscheid des Mietgerichts Zürich vom 12. September 2019. Darauf ist ebenfalls nicht einzutreten, da es sich nicht um einen letztinstanzlichen Entscheid handelt ( Art. 75 Abs. 1, Art. 114 BGG ).</w:t>
      </w:r>
    </w:p>
    <w:p>
      <w:r>
        <w:rPr>
          <w:b/>
        </w:rPr>
        <w:t>E. 3.7</w:t>
      </w:r>
    </w:p>
    <w:p>
      <w:r>
        <w:t>Der Beschwerdeführer trägt schliesslich vor, er habe vor der Vorinstanz vorgebracht, bei der Bemessung des erstinstanzlichen Streitwertes sei zu beachten, dass die Beschwerdegegnerin den Mietvertrag wegen dringendem Eigenbedarf erneut kündigen könne. Damit habe sich die Vorinstanz "nicht ausreichend auseinandergesetzt". Die Vorinstanz hätte zumindest mit einigen "nachvollziehbaren Argumenten positiv begründen sollen", warum die Streitwertbemessung im vorliegenden speziellen Fall gleich wie alle übrigen anfechtbaren Kündigungen vorgenommen werden könne. Die Vorinstanz habe seinen Anspruch auf rechtliches Gehör verletzt, als sie die konkreten Umstände "gar nicht oder wenig beachtet" habe.</w:t>
      </w:r>
    </w:p>
    <w:p>
      <w:r>
        <w:t>Soweit der Beschwerdeführer der Vorinstanz vorwirft, die Begründungspflicht als Ausfluss seines Anspruchs auf rechtliches Gehör sei verletzt, sind seine Vorwürfe unbegründet. Um den Vorgaben von Art. 29 Abs. 2 BV zu genügen, muss die Begründung so abgefasst sein, dass sich die betroffene Person über die Tragweite des angefochtenen Entscheids Rechenschaft geben und ihn in voller Kenntnis der Sache an die höhere Instanz weiterziehen kann ( BGE 145 III 324 E. 6.1 S. 326 mit Hinweisen). Das ist hier entgegen der Auffassung des Beschwerdeführers zweifellos der Fall, denn die Vorinstanz legt in Erwägung 3.4.1 Seite 9 des angefochtenen Entscheids klar dar, warum eine spätere, erneute Kündigung zufolge Eigenbedarf für die Berechnung des Streitwertes ausser Acht zu lassen sei. Diese Begründung erlaubt es dem Beschwerdeführer ohne Weiteres, den Entscheid der Vorinstanz an das Bundesgericht weiterzuziehen. Art. 29 Abs. 2 BV ist nicht verletzt.</w:t>
      </w:r>
    </w:p>
    <w:p>
      <w:r>
        <w:rPr>
          <w:b/>
        </w:rPr>
        <w:t>E. 3.8</w:t>
      </w:r>
    </w:p>
    <w:p>
      <w:r>
        <w:t>Dass die Vorinstanz bei der Bestimmung des Streitwertes andere verfassungsmässige Rechte verletzt hätte, zeigt der Beschwerdeführer nicht rechtsgenüglich auf (Erwägung 2.1), und ist im Übrigen auch nicht ersichtlich. Die Beschwerde ist daher abzuweisen, soweit auf sie überhaupt eingetreten werden kann.</w:t>
      </w:r>
    </w:p>
    <w:p>
      <w:r>
        <w:rPr>
          <w:b/>
        </w:rPr>
        <w:t>E. 4</w:t>
      </w:r>
    </w:p>
    <w:p>
      <w:r>
        <w:t>Bei diesem Ausgang des Verfahrens sind die Gerichtskosten dem Beschwerdeführer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