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4D_18/2018 vom 16. Mai 2018</w:t>
      </w:r>
    </w:p>
    <w:p>
      <w:r>
        <w:t>Bundesgericht, 2018-05-16, FR</w:t>
      </w:r>
    </w:p>
    <w:p>
      <w:r>
        <w:rPr>
          <w:b/>
        </w:rPr>
        <w:t xml:space="preserve">Quelle: </w:t>
      </w:r>
      <w:r>
        <w:t>https://mcp.opencaselaw.ch/entscheid/bger_4D_18_2018</w:t>
      </w:r>
    </w:p>
    <w:p>
      <w:r>
        <w:t>FR: TF 4D_18/2018 du 16 mai 2018</w:t>
      </w:r>
    </w:p>
    <w:p>
      <w:r>
        <w:t>IT: TF 4D_18/2018 del 16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4D_18/2018</w:t>
      </w:r>
    </w:p>
    <w:p>
      <w:r>
        <w:t>Arrêt du 16 mai 2018</w:t>
      </w:r>
    </w:p>
    <w:p>
      <w:r>
        <w:t>Ire Cour de droit civil</w:t>
      </w:r>
    </w:p>
    <w:p>
      <w:r>
        <w:t>Composition</w:t>
      </w:r>
    </w:p>
    <w:p>
      <w:r>
        <w:t>Mme la Juge fédérale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Y.________,</w:t>
      </w:r>
    </w:p>
    <w:p>
      <w:r>
        <w:t>Z.________,</w:t>
      </w:r>
    </w:p>
    <w:p>
      <w:r>
        <w:t>intimées.</w:t>
      </w:r>
    </w:p>
    <w:p>
      <w:r>
        <w:t>Objet</w:t>
      </w:r>
    </w:p>
    <w:p>
      <w:r>
        <w:t>procédure civile; transaction</w:t>
      </w:r>
    </w:p>
    <w:p>
      <w:r>
        <w:t>recours contre l'arrêt rendu le 12 mars 2018 par la Cour d'appel civile du Tribunal cantonal du canton de Vaud (P316.050533-171242, 150).</w:t>
      </w:r>
    </w:p>
    <w:p>
      <w:r>
        <w:t>Considérant :</w:t>
      </w:r>
    </w:p>
    <w:p>
      <w:r>
        <w:t>Qu'une contestation s'est élevée devant les tribunaux civils vaudois entre Y.________ et X.________, respectivement demanderesse et défendeur;</w:t>
      </w:r>
    </w:p>
    <w:p>
      <w:r>
        <w:t>Que Z.________ est intervenue dans le procès;</w:t>
      </w:r>
    </w:p>
    <w:p>
      <w:r>
        <w:t>Que celui-ci a pris fin par une transaction intervenue le 8 mars 2018 devant la Cour d'appel civile du Tribunal cantonal;</w:t>
      </w:r>
    </w:p>
    <w:p>
      <w:r>
        <w:t>Que le défendeur s'est obligé à verser diverses sommes à la demanderesse et à l'intervenante;</w:t>
      </w:r>
    </w:p>
    <w:p>
      <w:r>
        <w:t>Que ces deux parties ont accepté pour solde de toutes prétentions;</w:t>
      </w:r>
    </w:p>
    <w:p>
      <w:r>
        <w:t>Que la Cour d'appel a rayé la cause de son rôle par arrêt du 12 mars 2018;</w:t>
      </w:r>
    </w:p>
    <w:p>
      <w:r>
        <w:t>Que le Tribunal fédéral reçoit une brève écriture du défendeur où celui-ci fait état de la cessation de son activité lucrative, de la radiation de son inscription sur le registre du commerce et d'une demande de prestations adressée à l'assurance-invalidité;</w:t>
      </w:r>
    </w:p>
    <w:p>
      <w:r>
        <w:t>Que le défendeur fait également allusion à une situation pécuniaire difficile;</w:t>
      </w:r>
    </w:p>
    <w:p>
      <w:r>
        <w:t>Que le défendeur semble implicitement contester s'être valablement obligé par la transaction souscrite devant la Cour d'appel;</w:t>
      </w:r>
    </w:p>
    <w:p>
      <w:r>
        <w:t>Que son recours est entièrement dépourvu de conclusions et de motivation;</w:t>
      </w:r>
    </w:p>
    <w:p>
      <w:r>
        <w:t>Que ce recours ne satisfait donc pas aux exigences de l'art. 42 al. 1 et 2 de la loi fédérale sur le Tribunal fédéral concernant les recours adressés à ce tribunal;</w:t>
      </w:r>
    </w:p>
    <w:p>
      <w:r>
        <w:t>Que pour ce motif déjà, le recours est irrecevable;</w:t>
      </w:r>
    </w:p>
    <w:p>
      <w:r>
        <w:t>Qu'à titre de partie qui succombe, le défendeur devrait en principe assumer l'émolument judiciaire à percevoir par le Tribunal fédéral;</w:t>
      </w:r>
    </w:p>
    <w:p>
      <w:r>
        <w:t>Qu'à titre exceptionnel, le tribunal peut toutefois renoncer à prélever cet émolument.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d'émolument judiciaire.</w:t>
      </w:r>
    </w:p>
    <w:p>
      <w:r>
        <w:t>3.</w:t>
      </w:r>
    </w:p>
    <w:p>
      <w:r>
        <w:t>Le présent arrêt est communiqué aux parties et au Tribunal cantonal du canton de Vaud.</w:t>
      </w:r>
    </w:p>
    <w:p>
      <w:r>
        <w:t>Lausanne, le 16 mai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