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4D_187/2025 vom 19. Januar 2026</w:t>
      </w:r>
    </w:p>
    <w:p>
      <w:r>
        <w:t>Bundesgericht, 2026-01-19, DE</w:t>
      </w:r>
    </w:p>
    <w:p>
      <w:r>
        <w:rPr>
          <w:b/>
        </w:rPr>
        <w:t xml:space="preserve">Quelle: </w:t>
      </w:r>
      <w:r>
        <w:t>https://mcp.opencaselaw.ch/entscheid/bger_4D_187_2025</w:t>
      </w:r>
    </w:p>
    <w:p>
      <w:r>
        <w:t>FR: TF 4D_187/2025 du 19 janvier 2026</w:t>
      </w:r>
    </w:p>
    <w:p>
      <w:r>
        <w:t>IT: TF 4D_187/2025 del 19 gennaio 2026</w:t>
      </w:r>
    </w:p>
    <w:p>
      <w:pPr>
        <w:pStyle w:val="Heading2"/>
      </w:pPr>
      <w:r>
        <w:t>Erwägungen</w:t>
      </w:r>
    </w:p>
    <w:p>
      <w:r>
        <w:rPr>
          <w:b/>
        </w:rPr>
        <w:t>E. 1</w:t>
      </w:r>
    </w:p>
    <w:p>
      <w:r>
        <w:t>Mit Verfügung vom 8. August 2025 auferlegte die Schlichtungsbehörde Emmental-Oberaargau dem Beschwerdeführer androhungsgemäss eine Ordnungsbusse von Fr. 500.--, da dieser zur angesetzten Schlichtungsverhandlung nicht erschienen war und sich auch nicht vertreten liess.</w:t>
      </w:r>
    </w:p>
    <w:p>
      <w:r>
        <w:t>Mit Entscheid vom 26. August 2025 trat das Obergericht des Kantons Bern auf die vom Beschwerdeführer gegen diese Verfügung erhobene Beschwerde nicht ein, da sich der Beschwerdeführer bewusst durch eine nicht zur berufsmässigen Vertretung berechtigte Liegenschaftsverwalterin vertreten liess.</w:t>
      </w:r>
    </w:p>
    <w:p>
      <w:r>
        <w:t>Mit Eingabe vom 24. September 2025 erklärte der Beschwerdeführer dem Bundesgericht, das Urteil des Obergerichts des Kantons Bern vom 26. August 2025 mit Beschwerde anfechten zu wollen. Mit Schreiben vom 26. September 2025 teilte das Bundesgericht dem Beschwerdeführer mit, dass die C.________ AG nicht befugt ist, ihn vor Bundesgericht zu vertreten und setzte ihm mit Verfügung vom 26. September 2025 Frist zur eigenhändigen Unterzeichnung der Beschwerde an. Dem kam der Beschwerdeführer fristgerecht nach.</w:t>
      </w:r>
    </w:p>
    <w:p>
      <w:r>
        <w:t>Es wurden keine Vernehmlassungen eingeholt.</w:t>
      </w:r>
    </w:p>
    <w:p>
      <w:r>
        <w:rPr>
          <w:b/>
        </w:rPr>
        <w:t>E. 2</w:t>
      </w:r>
    </w:p>
    <w:p>
      <w:r>
        <w:t>Die Eingabe des Beschwerdeführers vom 24. September 2025 erfüllt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Der Beschwerdeführer wird bei diesem Verfahrensausgang kostenpflichtig ( Art. 66 Abs. 1 BGG ). Eine Parteientschädigung ist nicht zuzusprechen ( Art. 68 Abs. 2 und 3 BGG ), zumal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