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4D_186/2024 vom 3. Juli 2025</w:t>
      </w:r>
    </w:p>
    <w:p>
      <w:r>
        <w:t>Bundesgericht, 2025-07-03, DE</w:t>
      </w:r>
    </w:p>
    <w:p>
      <w:r>
        <w:rPr>
          <w:b/>
        </w:rPr>
        <w:t xml:space="preserve">Quelle: </w:t>
      </w:r>
      <w:r>
        <w:t>https://mcp.opencaselaw.ch/entscheid/bger_4D_186_2024</w:t>
      </w:r>
    </w:p>
    <w:p>
      <w:r>
        <w:t>FR: TF 4D_186/2024 du 3 juillet 2025</w:t>
      </w:r>
    </w:p>
    <w:p>
      <w:r>
        <w:t>IT: TF 4D_186/2024 del 3 luglio 2025</w:t>
      </w:r>
    </w:p>
    <w:p>
      <w:pPr>
        <w:pStyle w:val="Heading2"/>
      </w:pPr>
      <w:r>
        <w:t>Erwägungen</w:t>
      </w:r>
    </w:p>
    <w:p>
      <w:r>
        <w:rPr>
          <w:b/>
        </w:rPr>
        <w:t>E. 1</w:t>
      </w:r>
    </w:p>
    <w:p>
      <w:r>
        <w:t>Der Beschwerdeführer beauftragte die Beschwerdegegnerin, ihn im Zusammenhang mit einer Strafuntersuchung der Staatsanwaltschaft München rechtlich zu beraten und prozessual zu vertreten. In der Folge kam es zwischen den Parteien zu einem Streit über die Bezahlung des entsprechenden Honorars. Am 20. Juli 2021 reichte die Beschwerdegegnerin beim Bezirksgericht Kriens eine unbegründete Klage ein. Darin beantragte sie, der Beschwerdeführer sei zu verpflichten, ihr Fr. 15'122.25 zuzüglich Zins zu 5% seit dem 17. Juni 2019 zu bezahlen. Weiter sei der Rechtsvorschlag in der Betreibung Nr. xxx des Betreibungsamtes Luzern (Zahlungsbefehl vom 14. August 2020) zu beseitigen. Mit Urteil vom 21. Dezember 2023 verpflichtete das Bezirksgericht den Beschwerdeführer, der Beschwerdegegnerin Fr. 15'122.25 zuzüglich Zins zu 5% seit dem 18. Juni 2019 zu bezahlen. Zudem hob das Bezirksgericht in der Betreibung Nr. xxx des Betreibungsamtes Luzern den Rechtsvorschlag im Umfang dieser Klagegutheissung auf.</w:t>
      </w:r>
    </w:p>
    <w:p>
      <w:r>
        <w:rPr>
          <w:b/>
        </w:rPr>
        <w:t>E. 2</w:t>
      </w:r>
    </w:p>
    <w:p>
      <w:r>
        <w:t>Das Kantonsgericht Luzern wies mit Urteil vom 30. Oktober 2024 eine vom Beschwerdeführer dagegen erhobene Berufung ab, soweit es darauf eintrat. Zugleich bestätigte es das Urteil des Bezirksgerichts Kriens vom 21. Dezember 2023 vollumfänglich.</w:t>
      </w:r>
    </w:p>
    <w:p>
      <w:r>
        <w:rPr>
          <w:b/>
        </w:rPr>
        <w:t>E. 3</w:t>
      </w:r>
    </w:p>
    <w:p>
      <w:r>
        <w:t>Mit subsidiärer Verfassungsbeschwerde beantragt der Beschwerdeführer dem Bundesgericht, es sei das Urteil des Kantonsgerichts Luzern vom 30. Oktober 2024 aufzuheben und die Sache zur Neubeurteilung an das Bezirksgericht Kriens zurückzuweisen, unter Anweisung, dass die in jenem Verfahren beantragten Zeugen angehört würden. Es wurden keine Vernehmlassungen eingeholt.</w:t>
      </w:r>
    </w:p>
    <w:p>
      <w:r>
        <w:rPr>
          <w:b/>
        </w:rPr>
        <w:t>E. 4.1</w:t>
      </w:r>
    </w:p>
    <w:p>
      <w:r>
        <w:t>Mit subsidiärer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Die Beschwerde genügt diesen Begründungsanforderungen offensichtlich nicht. Entsprechend ist auf sie im vereinfachten Verfahren nach Art. 108 Abs. 1 lit. b BGG nicht einzutreten. Die Urteilsbegründung beschränkt sich auf eine kurze Angabe des Unzulässigkeitsgrundes ( Art. 108 Abs. 3 BGG ).</w:t>
      </w:r>
    </w:p>
    <w:p>
      <w:r>
        <w:rPr>
          <w:b/>
        </w:rPr>
        <w:t>E. 5</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