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4D_180/2025 vom 29. Oktober 2025</w:t>
      </w:r>
    </w:p>
    <w:p>
      <w:r>
        <w:t>Bundesgericht, 2025-10-29, DE</w:t>
      </w:r>
    </w:p>
    <w:p>
      <w:r>
        <w:rPr>
          <w:b/>
        </w:rPr>
        <w:t xml:space="preserve">Quelle: </w:t>
      </w:r>
      <w:r>
        <w:t>https://mcp.opencaselaw.ch/entscheid/bger_4D_180_2025</w:t>
      </w:r>
    </w:p>
    <w:p>
      <w:r>
        <w:t>FR: TF 4D_180/2025 du 29 octobre 2025</w:t>
      </w:r>
    </w:p>
    <w:p>
      <w:r>
        <w:t>IT: TF 4D_180/2025 del 29 ottobre 2025</w:t>
      </w:r>
    </w:p>
    <w:p>
      <w:pPr>
        <w:pStyle w:val="Heading2"/>
      </w:pPr>
      <w:r>
        <w:t>Erwägungen</w:t>
      </w:r>
    </w:p>
    <w:p>
      <w:r>
        <w:rPr>
          <w:b/>
        </w:rPr>
        <w:t>E. 1</w:t>
      </w:r>
    </w:p>
    <w:p>
      <w:r>
        <w:t>Mit Entscheid vom 12. August 2025 trat das Obergericht des Kantons Bern auf die Beschwerde der Beschwerdeführerin gegen die Vollstreckbarerklärung und Erteilung definitiver Rechtsöffnung für Fr. 7'802.51 nicht ein. Dagegen erhebt die Beschwerdeführerin mit Eingabe vom 18. September 2025 Beschwerde an das Bundesgericht.</w:t>
      </w:r>
    </w:p>
    <w:p>
      <w:r>
        <w:t>Mit Verfügung vom 24. September 2025 wurde der Beschwerdeführerin der Eingang der Beschwerde angezeigt, ihr Gesuch um Erstreckung der Beschwerdefrist abgewiesen und ihr mitgeteilt, dass das Bundesgericht ihr keinen Rechtsanwalt für eine Verbesserung der eingereichten Beschwerde bestellen könne.</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