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4D_180/2024 vom 27. Januar 2025</w:t>
      </w:r>
    </w:p>
    <w:p>
      <w:r>
        <w:t>Bundesgericht, 2025-01-27, DE</w:t>
      </w:r>
    </w:p>
    <w:p>
      <w:r>
        <w:rPr>
          <w:b/>
        </w:rPr>
        <w:t xml:space="preserve">Quelle: </w:t>
      </w:r>
      <w:r>
        <w:t>https://mcp.opencaselaw.ch/entscheid/bger_4D_180_2024</w:t>
      </w:r>
    </w:p>
    <w:p>
      <w:r>
        <w:t>FR: TF 4D_180/2024 du 27 janvier 2025</w:t>
      </w:r>
    </w:p>
    <w:p>
      <w:r>
        <w:t>IT: TF 4D_180/2024 del 27 gennaio 2025</w:t>
      </w:r>
    </w:p>
    <w:p>
      <w:pPr>
        <w:pStyle w:val="Heading2"/>
      </w:pPr>
      <w:r>
        <w:t>Erwägungen</w:t>
      </w:r>
    </w:p>
    <w:p>
      <w:r>
        <w:rPr>
          <w:b/>
        </w:rPr>
        <w:t>E. 1</w:t>
      </w:r>
    </w:p>
    <w:p>
      <w:r>
        <w:t>Mit Urteil vom 24. September 2024 erteilte das Richteramt Thal-Gäu den Beschwerdegegnerinnen in der Betreibung Nr. xxx des Betreibungsamtes X.________ vom 15. Mai 2024 für Fr. 10'901.50 zuzüglich Zins die definitive Rechtsöffnung. Gegen dieses Urteil erhob der Beschwerdeführer Beschwerde an das Obergericht Solothurn. Mit Beschluss vom 6. November 2024 trat das Obergericht auf die Beschwerde nicht ein, da sie verspätet erhoben worden sei. Gegen den Entscheid des Richteramts und des Obergerichts erhob der Beschwerdeführer mit Eingabe vom 27. November 2024 (Datum Poststempel)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Richteramts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unter Fr. 30'000.-- und erreicht damit die Streitwertgrenze nicht.</w:t>
      </w:r>
    </w:p>
    <w:p>
      <w:r>
        <w:rPr>
          <w:b/>
        </w:rPr>
        <w:t>E. 2.3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erklärt darin einzig, dass er Einsprache erhebe und die Sache an die "nächsthöhere Instanz" weiterführen wolle.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Beschwerdegegnerinnen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