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17/2023 vom 4. April 2023</w:t>
      </w:r>
    </w:p>
    <w:p>
      <w:r>
        <w:t>Bundesgericht, 2023-04-04, DE</w:t>
      </w:r>
    </w:p>
    <w:p>
      <w:r>
        <w:rPr>
          <w:b/>
        </w:rPr>
        <w:t xml:space="preserve">Quelle: </w:t>
      </w:r>
      <w:r>
        <w:t>https://mcp.opencaselaw.ch/entscheid/bger_4D_17_2023</w:t>
      </w:r>
    </w:p>
    <w:p>
      <w:r>
        <w:t>FR: TF 4D 17/2023 du 4 avril 2023</w:t>
      </w:r>
    </w:p>
    <w:p>
      <w:r>
        <w:t>IT: TF 4D 17/2023 del 4 aprile 2023</w:t>
      </w:r>
    </w:p>
    <w:p>
      <w:pPr>
        <w:pStyle w:val="Heading2"/>
      </w:pPr>
      <w:r>
        <w:t>Regeste</w:t>
      </w:r>
    </w:p>
    <w:p>
      <w:r>
        <w:t>unentgeltliche Rechtspflege, | Obligationenrecht (allgemein)</w:t>
      </w:r>
    </w:p>
    <w:p>
      <w:pPr>
        <w:pStyle w:val="Heading2"/>
      </w:pPr>
      <w:r>
        <w:t>Erwägungen</w:t>
      </w:r>
    </w:p>
    <w:p>
      <w:r>
        <w:rPr>
          <w:b/>
        </w:rPr>
        <w:t>E. 1</w:t>
      </w:r>
    </w:p>
    <w:p>
      <w:r>
        <w:t>Mit Schlichtungsgesuch vom 25. November 2022 machte die Beschwerdeführerin bei der Schlichtungsbehörde Bern-Mittelland eine Klage gegen die Verfahrensbeteiligte hängig, mit der sie die Ablehnung der neu ausgestellten Kreditkarte samt Geschäftsbedingungen geltend machte. Zudem ersuchte sie um unentgeltliche Rechtspflege für das Schlichtungsverfahren. Mit Entscheid vom 18. Januar 2023 wies die Schlichtungsbehörde das Gesuch um unentgeltliche Rechtspflege der Beschwerdeführerin ab. Mit Entscheid vom 14. Februar 2023 wies das Obergericht des Kantons Bern eine von der Beschwerdeführerin gegen die Verfügung der Schlichtungsbehörde vom 18. Januar 2023 erhobene Beschwerde ab. Mit Eingabe vom 10. März 2023 erklärte die Beschwerdeführerin dem Bundesgericht, den Entscheid des Obergerichts des Kantons Bern vom 14. Februar 2023 mit Beschwerde anfechten zu wollen. Gleichzeitig ersuchte sie für das bundesgerichtliche Verfahren um Gewährung der unentgeltlichen Rechtspflege.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Die Eingabe der Beschwerdeführerin vom 10. März 2023 erfüllt die genannten Begründungsanforderungen offensichtlich nicht. Sie zeigt nicht unter Bezugnahme auf die konkreten Erwägungen des angefochtenen Entscheids des Obergerichts des Kantons Bern vom 14. Februar 2023 auf, inwiefern der Vorinstanz eine Verletzung verfassungsmässiger Rechte vorzuwerfen wäre. Sie erwähnt zwar Art. 9 und Art. 29 BV , zeigt jedoch offensichtlich nicht hinreichend auf, inwiefern die Vorinstanz diese Bestimmungen verletzt haben soll. So beanstandet sie bloss in allgemeiner Weise das Fehlen einer ausführlichen Begründung, geht jedoch mit keinem Wort auf die vorinstanzliche Erwägung ein, wonach sie die Bejahung der Aussichtslosigkeit ihrer Rechtsbegehren durch die Schlichtungsbehörde im kantonalen Rechtsmittelverfahren nicht beanstandet habe. Zudem behauptet die Beschwerdeführerin pauschal, sie habe sich zu den aufgeworfenen Fragen nicht äussern können, ohne dies jedoch weiter zu begründen. 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Dem Beschwerdegegner und der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