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17/2020 vom 7. April 2020</w:t>
      </w:r>
    </w:p>
    <w:p>
      <w:r>
        <w:t>Bundesgericht, 2020-04-07, DE</w:t>
      </w:r>
    </w:p>
    <w:p>
      <w:r>
        <w:rPr>
          <w:b/>
        </w:rPr>
        <w:t xml:space="preserve">Quelle: </w:t>
      </w:r>
      <w:r>
        <w:t>https://mcp.opencaselaw.ch/entscheid/bger_4D_17_2020</w:t>
      </w:r>
    </w:p>
    <w:p>
      <w:r>
        <w:t>FR: TF 4D 17/2020 du 7 avril 2020</w:t>
      </w:r>
    </w:p>
    <w:p>
      <w:r>
        <w:t>IT: TF 4D 17/2020 del 7 aprile 2020</w:t>
      </w:r>
    </w:p>
    <w:p>
      <w:pPr>
        <w:pStyle w:val="Heading2"/>
      </w:pPr>
      <w:r>
        <w:t>Regeste</w:t>
      </w:r>
    </w:p>
    <w:p>
      <w:r>
        <w:t>Mietvertrag | Vertragsrecht</w:t>
      </w:r>
    </w:p>
    <w:p>
      <w:pPr>
        <w:pStyle w:val="Heading2"/>
      </w:pPr>
      <w:r>
        <w:t>Volltext</w:t>
      </w:r>
    </w:p>
    <w:p>
      <w:r>
        <w:t>Bundesgericht I. Zivilrechtliche Abteilung 07.04.2020 4D 17/2020 (4D_17/2020) Tribunal fédéral Ire Cour de droit civil 07.04.2020 4D 17/2020 (4D_17/2020) Tribunale federale I Corte di diritto civile 07.04.2020 4D 17/2020 (4D_17/2020)</w:t>
      </w:r>
    </w:p>
    <w:p>
      <w:r>
        <w:t>Mietvertrag | Vertragsrecht</w:t>
      </w:r>
    </w:p>
    <w:p>
      <w:r>
        <w:t>bBundesgericht Tribunal fédéral Tribunale federale Tribunal federal 4D_17/2020 Urteil vom 7. April 2020 I. zivilrechtliche Abteilung Besetzung Bundesrichterin Kiss, Präsidentin, Gerichtsschreiber Leemann. Verfahrensbeteiligte A.________, Beschwerdeführer, gegen B.________ AG, vertreten durch Rechtsanwalt Beat Lenel, Beschwerdegegnerin. Gegenstand Mietvertrag, Beschwerde gegen den Entscheid des Obergerichts des Kantons Thurgau vom 23. Januar 2020 (ZR.2019.32). In Erwägung, dass der Einzelrichter des Bezirksgerichts Kreuzlingen den Beschwerdeführer mit Urteil vom 16. September 2019 zur Zahlung ausstehender Mietzinsen in Höhe von insgesamt Fr. 3'780.-- zuzüglich Zins verurteilte, wobei er auf den Antrag der Beschwerdegegnerin, es sei die C.________ AG zur Herausgabe des Mietzinskontos zu verpflichten, nicht eintrat; dass das Obergericht des Kantons Thurgau eine vom Beschwerdeführer gegen den einzelrichterlichen Entscheid vom 16. September 2019 erhobene Beschwerde mit Entscheid vom 23. Januar 2020 abwies, soweit es darauf eintrat; dass der Beschwerdeführer dem Bundesgericht mit Eingabe vom 17. März 2020 erklärte, den Entscheid des Obergerichts des Kantons Thurgau vom 23. Januar 2020 mit Beschwerde anfechten zu wollen; dass die Beschwerde in Zivilsachen gemäss Art. 72 ff. BGG angesichts des massgebenden Streitwerts von Fr. 3'780.--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(Art. 99 i.V.m. Art. 117 BGG ); dass sich der Beschwerdeführer nicht hinreichend mit den Erwägungen des angefochtenen Entscheids des Obergerichts des Kantons Thurgau vom 23. Januar 2020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 dass die Eingabe des Beschwerdeführers vom 17. März 2020 die erwähnten Begründungsanforderungen daher offensichtlich nicht erfüllt, weshalb auf die Beschwerde in Anwendung von Art. 108 Abs. 1 lit. b BGG nicht eingetreten werden kann; dass der Beschwerdeführer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dem Beschwerdeführer auferlegt. 3. Es wird keine Parteientschädigung zugesprochen. 4. Dieses Urteil wird den Parteien und dem Obergericht des Kantons Thurgau schriftlich mitgeteilt. Lausanne, 7. April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