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4D_17/2007 vom 31. Juli 2007</w:t>
      </w:r>
    </w:p>
    <w:p>
      <w:r>
        <w:t>Bundesgericht, 2007-07-31, FR</w:t>
      </w:r>
    </w:p>
    <w:p>
      <w:r>
        <w:rPr>
          <w:b/>
        </w:rPr>
        <w:t xml:space="preserve">Quelle: </w:t>
      </w:r>
      <w:r>
        <w:t>https://mcp.opencaselaw.ch/entscheid/bger_4D_17_2007</w:t>
      </w:r>
    </w:p>
    <w:p>
      <w:r>
        <w:t>FR: TF 4D_17/2007 du 31 juillet 2007</w:t>
      </w:r>
    </w:p>
    <w:p>
      <w:r>
        <w:t>IT: TF 4D_17/2007 del 31 luglio 2007</w:t>
      </w:r>
    </w:p>
    <w:p>
      <w:pPr>
        <w:pStyle w:val="Heading2"/>
      </w:pPr>
      <w:r>
        <w:t>Erwägungen</w:t>
      </w:r>
    </w:p>
    <w:p>
      <w:r>
        <w:rPr>
          <w:b/>
        </w:rPr>
        <w:t>E. 1</w:t>
      </w:r>
    </w:p>
    <w:p>
      <w:r>
        <w:t>Le recours est dirigé contre un jugement rendu en matière civile ( art. 72 al. 1 LTF ). La valeur litigieuse n'atteint pas le minimum légal de 30'000 fr. (art. 51 al. 1 let. a et 74 al. 1 let. b LTF) et la cause ne correspond à aucun des cas de dispense prévus par la loi ( art. 74 al. 2 LTF ); en conséquence, elle n'est susceptible que du recours constitutionnel subsidiaire ( art. 113 LTF ), à l'exclusion du recours ordinaire en matière civile. Le recours est dirigé contre un jugement final et de dernière instance cantonale ( art. 75 al. 1, 90 et 117 LTF ). Le demandeur a pris part à l'instance précédente et il a succombé dans des conclusions concernant son patrimoine personnel ( art. 115 LTF ). Déposé en temps utile ( art. 100 al. 1 et 117 LTF ) et dans les formes requises (art. 42 al. 1 à 3 LTF), le recours constitutionnel est en principe recevable.</w:t>
      </w:r>
    </w:p>
    <w:p>
      <w:r>
        <w:t>Le recours constitutionnel ne peut être exercé que pour violation des droits constitutionnels ( art. 116 LTF ). Le Tribunal fédéral ne se saisit que des griefs soulevés et motivés par la partie recourante ( art. 106 al. 2 et 117 LTF ). Il doit statuer sur la base des faits constatés dans la décision attaquée; il ne peut rectifier ou compléter que les constatations de fait auxquelles l'autorité précédente est parvenue en violation des droits constitutionnels ( art. 118 LTF ).</w:t>
      </w:r>
    </w:p>
    <w:p>
      <w:r>
        <w:rPr>
          <w:b/>
        </w:rPr>
        <w:t>E. 2</w:t>
      </w:r>
    </w:p>
    <w:p>
      <w:r>
        <w:t>Une décision est arbitraire, et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132 I 13 consid. 5.1 p. 17; 131 I 467 consid. 3.1 p. 473/474; 129 I 8 consid. 2.1 p. 9).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w:t>
      </w:r>
    </w:p>
    <w:p>
      <w:r>
        <w:rPr>
          <w:b/>
        </w:rPr>
        <w:t>E. 3</w:t>
      </w:r>
    </w:p>
    <w:p>
      <w:r>
        <w:t>Selon l'art. 9 al. 1 et 2 de la loi fédérale sur les fors en matière civile (LFors), une convention passée par écrit peut désigner le lieu dans lequel un différend présent ou à venir, survenant entre les parties et résultant d'un rapport de droit déterminé, sera porté en justice. Le demandeur reproche aux précédents juges d'avoir rejeté arbitrairement l'existence d'une convention pertinente au regard de cette disposition. Il n'est cependant pas nécessaire de statuer sur ce point car on verra que le grief tiré de l' art. 9 Cst. est de toute manière mal fondé.</w:t>
      </w:r>
    </w:p>
    <w:p>
      <w:r>
        <w:rPr>
          <w:b/>
        </w:rPr>
        <w:t>E. 4</w:t>
      </w:r>
    </w:p>
    <w:p>
      <w:r>
        <w:t>Aux termes de l'art. 26 al. 3 de la loi fribourgeoise du 12 décembre 2002 sur la profession d'avocat, les contestations relatives aux honoraires et débours des avocats ressortissent à la Cour de modération du Tribunal cantonal, quand elles concernent une affaire civile ou pénale qui n'a pas été portée devant une autorité juridictionnelle. Le demandeur se plaint également d'une application arbitraire de cette disposition, en tant que la Cour lui dénie le droit d'assigner devant elle le garant de ses honoraires.</w:t>
      </w:r>
    </w:p>
    <w:p>
      <w:r>
        <w:t>Conformément à son argumentation, il est vrai que la loi ne délimite pas explicitement le cercle des justiciables qu'un avocat peut éventuellement assigner devant la Cour de modération. La disposition précitée se trouve toutefois dans une section intitulée « Rapports entre avocats et clients ». L'assureur de protection juridique n'est pas le destinataire des services fournis par l'avocat; de ce point de vue, il n'est pas le client, même s'il s'est porté garant des honoraires. La décision présentement attaquée repose sur le texte de la loi et il n'apparaît pas que l'interprétation retenue contredise un principe clair et indiscuté en droit fribourgeois. La décision échappe donc au grief d'arbitraire; il s'ensuit que le recours constitutionnel doit être rejeté dans ses conclusions principales.</w:t>
      </w:r>
    </w:p>
    <w:p>
      <w:r>
        <w:rPr>
          <w:b/>
        </w:rPr>
        <w:t>E. 5</w:t>
      </w:r>
    </w:p>
    <w:p>
      <w:r>
        <w:t>L' art. 111 al. 1 et 4 CPC frib. prévoit qu'en règle générale, la partie qui succombe est condamnée au paiement des dépens de son adversaire (al. 1); en dérogation à ce principe, lorsque l'adversaire a compliqué ou abusivement prolongé le procès, celui-ci peut être condamné à tout ou partie des dépens (al. 4).</w:t>
      </w:r>
    </w:p>
    <w:p>
      <w:r>
        <w:t>Le demandeur prétend que dans sa réponse du 23 mai 2005, la défenderesse l'a « invité » à saisir la Cour de modération. En considération de ce fait, à son avis, la Cour aurait dû répartir les dépens en application de l' art. 111 al. 4 CPC frib. Or, compte tenu que la proposition de saisir la Cour ne provenait que du demandeur, selon ses lettres du 18 avril et du 6 mai 2005, l'attitude de la défenderesse n'imposait pas de déroger à la règle générale concernant l'imputation des dépens. Sur ce point encore, le grief d'arbitraire est mal fondé; le recours sera donc rejeté aussi dans ses conclusions subsidiaires.</w:t>
      </w:r>
    </w:p>
    <w:p>
      <w:r>
        <w:rPr>
          <w:b/>
        </w:rPr>
        <w:t>E. 6</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