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4D_174/2024 vom 11. Dezember 2024</w:t>
      </w:r>
    </w:p>
    <w:p>
      <w:r>
        <w:t>Bundesgericht, 2024-12-11, DE</w:t>
      </w:r>
    </w:p>
    <w:p>
      <w:r>
        <w:rPr>
          <w:b/>
        </w:rPr>
        <w:t xml:space="preserve">Quelle: </w:t>
      </w:r>
      <w:r>
        <w:t>https://mcp.opencaselaw.ch/entscheid/bger_4D_174_2024</w:t>
      </w:r>
    </w:p>
    <w:p>
      <w:r>
        <w:t>FR: TF 4D_174/2024 du 11 décembre 2024</w:t>
      </w:r>
    </w:p>
    <w:p>
      <w:r>
        <w:t>IT: TF 4D_174/2024 del 11 dicembre 2024</w:t>
      </w:r>
    </w:p>
    <w:p>
      <w:pPr>
        <w:pStyle w:val="Heading2"/>
      </w:pPr>
      <w:r>
        <w:t>Erwägungen</w:t>
      </w:r>
    </w:p>
    <w:p>
      <w:r>
        <w:rPr>
          <w:b/>
        </w:rPr>
        <w:t>E. 1</w:t>
      </w:r>
    </w:p>
    <w:p>
      <w:r>
        <w:t>Der Beschwerdeführer reichte am 11. Dezember 2023 beim Richteramt Solothurn-Lebern eine Zivilklage gegen den Beschwerdegegner ein. Darin verlangte er die Rückerstattung von Strassenverkehrssteuern über Fr. 3'210.-- zuzüglich Zins seit dem 19. Juni 2022. Mangels sachlicher Zuständigkeit trat die Amtsgerichtspräsidentin am 5. Juni 2024 auf diese Klage nicht ein. Das Obergericht des Kantons Solothurn trat mit Beschluss vom 1. Oktober 2024 auf eine vom Beschwerdeführer dagegen erhobene Beschwerde nicht ein. Mit subsidiärer Verfassungsbeschwerde beantragt der Beschwerdeführer dem Bundesgericht, es sei der Beschluss des Obergerichts vom 1. Oktober 2024 aufzuheben. Es wurden keine Vernehmlassungen eingeholt.</w:t>
      </w:r>
    </w:p>
    <w:p>
      <w:r>
        <w:rPr>
          <w:b/>
        </w:rPr>
        <w:t>E. 2</w:t>
      </w:r>
    </w:p>
    <w:p>
      <w:r>
        <w:t>Das Bundesgericht prüft von Amtes wegen und mit freier Kognition, ob ein Rechtsmittel zulässig ist ( Art. 29 Abs. 1 BGG ; BGE 150 III 248 E. 1; 149 III 277 E. 3.1; 148 IV 155 E. 1.1).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Der Beschwerdeführer zeigt in seiner Beschwerde nicht rechtsgenügend auf, dass er bereits im vorinstanzlichen Verfahren seiner Begründungspflicht nachgekommen wäre und sich dort mit den erstinstanzlichen Erwägungen zur sachlichen Zuständigkeit befasst hätte. Seine materiellrechtlichen Ausführungen zur behaupteten Bundesverfassungswidrigkeit der Solothurner Strassenverkehrssteuern vermögen die erforderliche Auseinandersetzung mit dem angefochtenen Entscheid nicht zu ersetzen.</w:t>
      </w:r>
    </w:p>
    <w:p>
      <w:r>
        <w:rPr>
          <w:b/>
        </w:rPr>
        <w:t>E. 2.4</w:t>
      </w:r>
    </w:p>
    <w:p>
      <w:r>
        <w:t>Auf die Beschwerde ist somit mangels hinreichender Begründung nicht einzutreten ( Art. 108 Abs. 1 lit. b BGG ).</w:t>
      </w:r>
    </w:p>
    <w:p>
      <w:r>
        <w:rPr>
          <w:b/>
        </w:rPr>
        <w:t>E. 3</w:t>
      </w:r>
    </w:p>
    <w:p>
      <w:r>
        <w:t>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