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4D_171/2024 vom 5. November 2024</w:t>
      </w:r>
    </w:p>
    <w:p>
      <w:r>
        <w:t>Bundesgericht, 2024-11-05, DE</w:t>
      </w:r>
    </w:p>
    <w:p>
      <w:r>
        <w:rPr>
          <w:b/>
        </w:rPr>
        <w:t xml:space="preserve">Quelle: </w:t>
      </w:r>
      <w:r>
        <w:t>https://mcp.opencaselaw.ch/entscheid/bger_4D_171_2024</w:t>
      </w:r>
    </w:p>
    <w:p>
      <w:r>
        <w:t>FR: TF 4D_171/2024 du 5 novembre 2024</w:t>
      </w:r>
    </w:p>
    <w:p>
      <w:r>
        <w:t>IT: TF 4D_171/2024 del 5 novembre 2024</w:t>
      </w:r>
    </w:p>
    <w:p>
      <w:pPr>
        <w:pStyle w:val="Heading2"/>
      </w:pPr>
      <w:r>
        <w:t>Erwägungen</w:t>
      </w:r>
    </w:p>
    <w:p>
      <w:r>
        <w:rPr>
          <w:b/>
        </w:rPr>
        <w:t>E. 1</w:t>
      </w:r>
    </w:p>
    <w:p>
      <w:r>
        <w:t>A.________ (nachfolgend: Beschwerdeführer) mietet seit dem 29. September 2009 eine 4-Zimmerwohnung von B.________ (Beschwerdegegner) an der U.________strasse in V.________. Am 27. Mai 2024 kündigte der Beschwerdegegner das Mietverhältnis wegen Zahlungsverzugs gestützt auf Art. 257d OR mittels amtlich genehmigten Formular per 30. Juni 2024. Auf Gesuch des Beschwerdegegners verpflichtete das Einzelgericht im summarischen Verfahren des Bezirks Hinwil den Beschwerdeführer mit Urteil vom 20. August 2024 im Verfahren nach klarem Recht, die Mieträumlichkeiten unverzüglich zu räumen und dem Beschwerdegegner ordnungsgemäss zu übergeben, unter Androhung der Zwangsvollstreckung im Unterlassungsfall. Auf eine vom Beschwerdeführer dagegen erhobene Beschwerde trat das Obergericht des Kantons Zürich mit Beschluss vom 25. September 2024 nicht ein. Dagegen erhob der Beschwerdeführer mit undatierter Eingabe (Postaufgabe am 2. November 2024) beim Bundesgericht Beschwerde.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kantonale Beschwerde des Beschwerdeführers nicht ein, weil die Beschwerdeschrift den gesetzlichen Rüge- und Begründungsanforderungen nicht genüge. Die darin erhobenen Vorbringen seien allesamt neu und damit verspätet. Es fehle deshalb an einer hinreichenden Begründung der Beschwerde. Der Beschwerdeführer setzt sich in seiner Eingabe vom 2. November 2024 nicht, jedenfalls nicht hinreichend, mit den entsprechenden Erwägungen der Vorinstanz auseinander und legt nicht, jedenfalls nicht rechtsgenügend dar, welche Rechte diese inwiefern verletzt haben soll, indem sie auf seine Beschwerde mangels genügender Begründung nicht eintrat. Vielmehr unterbreitet er dem Bundesgericht lediglich seine Sicht der Dinge in der Sache selbst. Damit genügt die vorliegende Beschwerde den vorstehend (Erwägung 2) dargestellten Begründungsanforderungen offensichtlich nicht, weshalb darauf nicht eingetreten werden kann ( Art. 108 Abs. 1 lit. b BGG ).</w:t>
      </w:r>
    </w:p>
    <w:p>
      <w:r>
        <w:rPr>
          <w:b/>
        </w:rPr>
        <w:t>E. 4</w:t>
      </w:r>
    </w:p>
    <w:p>
      <w:r>
        <w:t>Dem Ausgang des Verfahrens entsprechend sind die Gerichtskosten dem Beschwerdeführer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