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4D_170/2025 vom 1. Oktober 2025</w:t>
      </w:r>
    </w:p>
    <w:p>
      <w:r>
        <w:t>Bundesgericht, 2025-10-01, DE</w:t>
      </w:r>
    </w:p>
    <w:p>
      <w:r>
        <w:rPr>
          <w:b/>
        </w:rPr>
        <w:t xml:space="preserve">Quelle: </w:t>
      </w:r>
      <w:r>
        <w:t>https://mcp.opencaselaw.ch/entscheid/bger_4D_170_2025</w:t>
      </w:r>
    </w:p>
    <w:p>
      <w:r>
        <w:t>FR: TF 4D_170/2025 du 1 octobre 2025</w:t>
      </w:r>
    </w:p>
    <w:p>
      <w:r>
        <w:t>IT: TF 4D_170/2025 del 1 ottobre 2025</w:t>
      </w:r>
    </w:p>
    <w:p>
      <w:pPr>
        <w:pStyle w:val="Heading2"/>
      </w:pPr>
      <w:r>
        <w:t>Erwägungen</w:t>
      </w:r>
    </w:p>
    <w:p>
      <w:r>
        <w:rPr>
          <w:b/>
        </w:rPr>
        <w:t>E. 1</w:t>
      </w:r>
    </w:p>
    <w:p>
      <w:r>
        <w:t>Mit Beschluss und Urteil vom 18. Juli 2025 wies das Obergericht des Kantons Zürich die Beschwerde des Beschwerdeführers gegen die Erteilung der definitiven Rechtsöffnung für eine Steuerforderung von Fr. 2'014.80 zuzüglich Zins und Kosten ab. Gleichzeitig wies es auch das Gesuch um unentgeltliche Rechtspflege für das Beschwerdeverfahren ab. Dagegen erhebt der Beschwerdeführer mit Eingabe vom 15. September 2025 (Postaufgabe) Beschwerde beim Bundesgericht. Auf das Einholen von Vernehmlassungen zur Beschwerde wurde verzichtet.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im vereinfachten Verfahren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Der Beschwerdegegner hat keinen Anspruch auf eine Parteientschädigung, da ihm mangels Einholung einer Vernehmlassung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