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4D_170/2024 vom 27. Januar 2025</w:t>
      </w:r>
    </w:p>
    <w:p>
      <w:r>
        <w:t>Bundesgericht, 2025-01-27, DE</w:t>
      </w:r>
    </w:p>
    <w:p>
      <w:r>
        <w:rPr>
          <w:b/>
        </w:rPr>
        <w:t xml:space="preserve">Quelle: </w:t>
      </w:r>
      <w:r>
        <w:t>https://mcp.opencaselaw.ch/entscheid/bger_4D_170_2024</w:t>
      </w:r>
    </w:p>
    <w:p>
      <w:r>
        <w:t>FR: TF 4D_170/2024 du 27 janvier 2025</w:t>
      </w:r>
    </w:p>
    <w:p>
      <w:r>
        <w:t>IT: TF 4D_170/2024 del 27 gennaio 2025</w:t>
      </w:r>
    </w:p>
    <w:p>
      <w:pPr>
        <w:pStyle w:val="Heading2"/>
      </w:pPr>
      <w:r>
        <w:t>Erwägungen</w:t>
      </w:r>
    </w:p>
    <w:p>
      <w:r>
        <w:rPr>
          <w:b/>
        </w:rPr>
        <w:t>E. 1</w:t>
      </w:r>
    </w:p>
    <w:p>
      <w:r>
        <w:t>Mit Urteil vom 2. September 2024 erteilte das Bezirksgericht Winterthur dem Beschwerdegegner in der Betreibung Nr. xxx des Betreibungsamts X.________ (Zahlungsbefehl vom 8. Mai 2024) definitive Rechtsöffnung für Fr. 800.-- sowie Kosten und Entschädigung gemäss diesem Urteil; mit gleichzeitiger Verfügung wurde das Gesuch des Beschwerdeführers um Gewährung der unentgeltlichen Rechtspflege abgewiesen. Dagegen erhob der Beschwerdeführer Beschwerde an das Obergericht des Kantons Zürich. Das Obergericht wies mit Beschluss und Urteil vom 25. Oktober 2024 die Beschwerde und das Gesuch um Gewährung der unentgeltlichen Rechtspflege für das Beschwerdeverfahren ab. Gegen diesen Entscheid erhob der Beschwerdeführer mit Eingabe vom 2. November 2024 (Datum Poststempel)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800.--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