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4D_16/2026 vom 12. Februar 2026</w:t>
      </w:r>
    </w:p>
    <w:p>
      <w:r>
        <w:t>Bundesgericht, 2026-02-12, DE</w:t>
      </w:r>
    </w:p>
    <w:p>
      <w:r>
        <w:rPr>
          <w:b/>
        </w:rPr>
        <w:t xml:space="preserve">Quelle: </w:t>
      </w:r>
      <w:r>
        <w:t>https://mcp.opencaselaw.ch/entscheid/bger_4D_16_2026</w:t>
      </w:r>
    </w:p>
    <w:p>
      <w:r>
        <w:t>FR: TF 4D_16/2026 du 12 février 2026</w:t>
      </w:r>
    </w:p>
    <w:p>
      <w:r>
        <w:t>IT: TF 4D_16/2026 del 12 febbraio 2026</w:t>
      </w:r>
    </w:p>
    <w:p>
      <w:pPr>
        <w:pStyle w:val="Heading2"/>
      </w:pPr>
      <w:r>
        <w:t>Erwägungen</w:t>
      </w:r>
    </w:p>
    <w:p>
      <w:r>
        <w:rPr>
          <w:b/>
        </w:rPr>
        <w:t>E. 1</w:t>
      </w:r>
    </w:p>
    <w:p>
      <w:r>
        <w:t>Mit Beschluss und Urteil vom 9. Dezember 2025 wies das Obergericht des Kantons Zürich die Beschwerde des Beschwerdeführers gegen den Rechtsöffnungsentscheid des Einzelgerichts am Bezirksgericht Dietikon vom 1. Oktober 2025 ab. Zugleich wies das Obergericht das Gesuch des Beschwerdeführers um unentgeltliche Rechtspflege ab.</w:t>
      </w:r>
    </w:p>
    <w:p>
      <w:r>
        <w:rPr>
          <w:b/>
        </w:rPr>
        <w:t>E. 2</w:t>
      </w:r>
    </w:p>
    <w:p>
      <w:r>
        <w:t>Dagegen erhob der Beschwerdeführer am 23. Januar 2026 Beschwerde an das Bundesgericht.</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für das bundesgerichtliche Verfahren ist wegen Aussichtslosigkeit abzuweisen ( Art. 64 Abs. 1 BGG ).</w:t>
      </w:r>
    </w:p>
    <w:p>
      <w:r>
        <w:rPr>
          <w:b/>
        </w:rPr>
        <w:t>E. 4</w:t>
      </w:r>
    </w:p>
    <w:p>
      <w:r>
        <w:t>Der Beschwerdeführer wird bei diesem Verfahrensausgang kostenpflichtig ( Art. 66 Abs. 1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