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4D_16/2025 vom 4. März 2025</w:t>
      </w:r>
    </w:p>
    <w:p>
      <w:r>
        <w:t>Bundesgericht, 2025-03-04, DE</w:t>
      </w:r>
    </w:p>
    <w:p>
      <w:r>
        <w:rPr>
          <w:b/>
        </w:rPr>
        <w:t xml:space="preserve">Quelle: </w:t>
      </w:r>
      <w:r>
        <w:t>https://mcp.opencaselaw.ch/entscheid/bger_4D_16_2025</w:t>
      </w:r>
    </w:p>
    <w:p>
      <w:r>
        <w:t>FR: TF 4D_16/2025 du 4 mars 2025</w:t>
      </w:r>
    </w:p>
    <w:p>
      <w:r>
        <w:t>IT: TF 4D_16/2025 del 4 marzo 2025</w:t>
      </w:r>
    </w:p>
    <w:p>
      <w:pPr>
        <w:pStyle w:val="Heading2"/>
      </w:pPr>
      <w:r>
        <w:t>Erwägungen</w:t>
      </w:r>
    </w:p>
    <w:p>
      <w:r>
        <w:rPr>
          <w:b/>
        </w:rPr>
        <w:t>E. 1</w:t>
      </w:r>
    </w:p>
    <w:p>
      <w:r>
        <w:t>Mit Urteil vom 6. Juli 2023 wies das Einzelgericht am Arbeitsgericht Zürich eine vom Beschwerdeführer gegen die Beschwerdegegnerin erhobene Klage auf Zahlung von Fr. 3'975.-- sowie Ausstellung eines Arbeitszeugnisses ab. Mit Beschluss vom 6. Dezember 2023 trat das Obergericht des Kantons Zürich auf die vom Beschwerdeführer gegen dieses Urteil erhobene Beschwerde nicht ein. Mit Eingabe vom 24. Januar 2025 erklärte der Beschwerdeführer dem Bundesgericht, den Beschluss des Obergerichts des Kantons Zürich vom 6. Dezember 2023 mit Beschwerde anfechten zu wollen, wobei er gleichzeitig um Wiederherstellung der Beschwerdefrist für das bundesgerichtliche Verfahren ersuchte.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2.4</w:t>
      </w:r>
    </w:p>
    <w:p>
      <w:r>
        <w:t>Die Eingabe des Beschwerdeführers vom 24. Januar 2025 erfüllt die genannten Begründungsanforderungen offensichtlich nicht. Er zeigt nicht unter Bezugnahme auf die Erwägungen des angefochtenen Entscheids des Obergerichts des Kantons Zürich vom 6. Dezember 2023 auf, inwiefern die Vorinstanz mit ihrem Entscheid verfassungsmässige Rechte verletzt hätte, sondern unterbreitet dem Bundesgericht in unzulässiger Weise seine eigene Sicht der Dinge. Selbst wenn die beantragte Wiederherstellung der Beschwerdefrist (Art. 50 i.V.m. Art. 100 Abs. 1 BGG ) gewährt werden könnte, wäre somit auf die Beschwerde im vereinfachten Verfahren gemäss Art. 108 Abs. 1 lit. b BGG nicht einzutreten.</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