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4D_16/2024 vom 5. Februar 2024</w:t>
      </w:r>
    </w:p>
    <w:p>
      <w:r>
        <w:t>Bundesgericht, 2024-02-05, DE</w:t>
      </w:r>
    </w:p>
    <w:p>
      <w:r>
        <w:rPr>
          <w:b/>
        </w:rPr>
        <w:t xml:space="preserve">Quelle: </w:t>
      </w:r>
      <w:r>
        <w:t>https://mcp.opencaselaw.ch/entscheid/bger_4D_16_2024</w:t>
      </w:r>
    </w:p>
    <w:p>
      <w:r>
        <w:t>FR: TF 4D_16/2024 du 5 février 2024</w:t>
      </w:r>
    </w:p>
    <w:p>
      <w:r>
        <w:t>IT: TF 4D_16/2024 del 5 febbraio 2024</w:t>
      </w:r>
    </w:p>
    <w:p>
      <w:pPr>
        <w:pStyle w:val="Heading2"/>
      </w:pPr>
      <w:r>
        <w:t>Erwägungen</w:t>
      </w:r>
    </w:p>
    <w:p>
      <w:r>
        <w:rPr>
          <w:b/>
        </w:rPr>
        <w:t>E. 1</w:t>
      </w:r>
    </w:p>
    <w:p>
      <w:r>
        <w:t>Mit Eingabe vom 29. September 2022 reichte die Beschwerdeführerin beim Einzelgericht des Bezirksgerichts Uster eine Forderungsklage mit einem Streitwert von Fr. 21'529.-- ein.</w:t>
      </w:r>
    </w:p>
    <w:p>
      <w:r>
        <w:t>Mit Verfügung vom 14. Juli 2023 wies das Einzelgericht das Gesuch der Beschwerdeführerin um unentgeltliche Rechtspflege ab und setzte ihr Frist zur Leistung eines Kostenvorschusses von Fr. 3'270.-- an. Ausserdem verpflichtete es die Beschwerdeführerin zur Leistung einer Sicherheit für die Parteientschädigung in der Höhe von Fr. 4'300.--.</w:t>
      </w:r>
    </w:p>
    <w:p>
      <w:r>
        <w:t>Die Beschwerdeführerin focht die Verfügung vom 14. Juli 2023 beim Obergericht des Kantons Zürich mit Beschwerde an und ersuchte um Gewährung der unentgeltlichen Rechtspflege für das Rechtsmittelverfahren.</w:t>
      </w:r>
    </w:p>
    <w:p>
      <w:r>
        <w:t>Mit Beschluss vom 1. Dezember 2023 wies das Obergericht des Kantons Zürich das Gesuch um Bewilligung der unentgeltlichen Rechtspflege im Beschwerdeverfahren ab. Mit Urteil vom gleichen Tag wies es die Beschwerde ab.</w:t>
      </w:r>
    </w:p>
    <w:p>
      <w:r>
        <w:t>Mit Eingabe vom 26. Januar 2024 erklärte die Beschwerdeführerin dem Bundesgericht, den Entscheid des Obergerichts des Kantons Zürich vom 1. Dezember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Beschwerdeführerin setzt sich in ihrer Beschwerdeeingabe vom 26. Januar 2024 nicht hinreichend mit den eingehenden Erwägungen des angefochtenen Entscheids des Obergerichts des Kantons Zürich vom 1. Dezember 2023 auseinander und zeigt nicht rechtsgenügend auf, inwiefern die Vorinstanz mit ihrem Entscheid verfassungsmässige Rechte verletzt hätte, sondern unterbreitet dem Bundesgericht in unzulässiger Weise ihre eigene Sicht der Dinge. Sie erwähnt zwar unter anderem Art. 9 und Art. 29 BV sowie Art. 6 Ziff. 1 EMRK , zeigt jedoch offensichtlich nicht hinreichend auf, inwiefern die Vorinstanz diese Bestimmungen verletzt haben soll.</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Die Beschwerdeführerin wird bei diesem Verfahrensausgang kostenpflichtig ( Art. 66 Abs. 1 BGG ). Den Beschwerdegegnern ist keine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