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 16/2021 vom 22. März 2021</w:t>
      </w:r>
    </w:p>
    <w:p>
      <w:r>
        <w:t>Bundesgericht, 2021-03-22, FR</w:t>
      </w:r>
    </w:p>
    <w:p>
      <w:r>
        <w:rPr>
          <w:b/>
        </w:rPr>
        <w:t xml:space="preserve">Quelle: </w:t>
      </w:r>
      <w:r>
        <w:t>https://mcp.opencaselaw.ch/entscheid/bger_4D_16_2021</w:t>
      </w:r>
    </w:p>
    <w:p>
      <w:r>
        <w:t>FR: TF 4D 16/2021 du 22 mars 2021</w:t>
      </w:r>
    </w:p>
    <w:p>
      <w:r>
        <w:t>IT: TF 4D 16/2021 del 22 marzo 2021</w:t>
      </w:r>
    </w:p>
    <w:p>
      <w:pPr>
        <w:pStyle w:val="Heading2"/>
      </w:pPr>
      <w:r>
        <w:t>Regeste</w:t>
      </w:r>
    </w:p>
    <w:p>
      <w:r>
        <w:t>expulsion forcée; retrait du recours, | Droit des contrats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recours.</w:t>
      </w:r>
    </w:p>
    <w:p>
      <w:r>
        <w:rPr>
          <w:b/>
        </w:rPr>
        <w:t>E. 2</w:t>
      </w:r>
    </w:p>
    <w:p>
      <w:r>
        <w:t>La cause 4D_16/2021 est rayée du rôle.</w:t>
      </w:r>
    </w:p>
    <w:p>
      <w:r>
        <w:rPr>
          <w:b/>
        </w:rPr>
        <w:t>E. 3</w:t>
      </w:r>
    </w:p>
    <w:p>
      <w:r>
        <w:t>Un émolument judiciaire de 200 fr. est mis à la charge du recourant.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La présente ordonnance est communiquée aux parties, au Tribunal cantonal du canton de Vaud, Chambre des recours civile, et à la Justice de paix du district de l'Ouest lausannois. Lausanne, le 22 mars 2021 Au nom de la Ire Cour de droit civil du Tribunal fédéral suisse La Présidente : Hohl 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