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4D_168/2025 vom 18. November 2025</w:t>
      </w:r>
    </w:p>
    <w:p>
      <w:r>
        <w:t>Bundesgericht, 2025-11-18, DE</w:t>
      </w:r>
    </w:p>
    <w:p>
      <w:r>
        <w:rPr>
          <w:b/>
        </w:rPr>
        <w:t xml:space="preserve">Quelle: </w:t>
      </w:r>
      <w:r>
        <w:t>https://mcp.opencaselaw.ch/entscheid/bger_4D_168_2025</w:t>
      </w:r>
    </w:p>
    <w:p>
      <w:r>
        <w:t>FR: TF 4D_168/2025 du 18 novembre 2025</w:t>
      </w:r>
    </w:p>
    <w:p>
      <w:r>
        <w:t>IT: TF 4D_168/2025 del 18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25. Juli 2025 trat das Obergericht des Kantons Bern auf die Beschwerde des Beschwerdeführers gegen die Erteilung der definitiven Rechtsöffnung für 1'000.-- nebst Akzessorien nicht ein. Dagegen erhebt der Beschwerdeführer mit Schreiben vom 12. September 2025 eine subsidiäre Verfassungsbeschwerde beim Bundesgericht.</w:t>
      </w:r>
    </w:p>
    <w:p>
      <w:r>
        <w:rPr>
          <w:b/>
        </w:rPr>
        <w:t>E. 2</w:t>
      </w:r>
    </w:p>
    <w:p>
      <w:r>
        <w:t>Die Beschwerde enthält keinen zulässigen Beschwerdeantrag und ist bereits aus diesem Grund unzulässig (vgl. Art. 42 Abs. 1 BGG ). Darüber hinaus erfüllt die Eingabe des Beschwerdeführers die Begründungsanforderungen für eine Beschwerde an das Bundesgericht offensichtlich nicht ( Art. 42 Abs. 2 und Art. 106 Abs. 2 BGG , BGE 142 III 364 E. 2.4; 140 III 6 ). Die Beschwerde erweist sich somit als offensichtlich unzulässig, weshalb auf sie im vereinfachten Verfahren durch den Abteilungspräsidenten nicht einzutreten ist ( Art. 108 Abs. 1 lit. b BGG ). Die Begründung des Entscheids beschränkt sich auf eine kurze Angabe der Unzulässigkeitsgründe ( Art. 108 Abs. 3 BGG ).</w:t>
      </w:r>
    </w:p>
    <w:p>
      <w:r>
        <w:rPr>
          <w:b/>
        </w:rPr>
        <w:t>E. 3</w:t>
      </w:r>
    </w:p>
    <w:p>
      <w:r>
        <w:t>Die Gerichtskosten sind dem Beschwerdeführer aufzuerlegen. Der Beschwerdegegner hat keinen Anspruch auf eine Parteientschädigung ( Art. 68 Abs.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