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4D_164/2025 vom 29. Oktober 2025</w:t>
      </w:r>
    </w:p>
    <w:p>
      <w:r>
        <w:t>Bundesgericht, 2025-10-29, DE</w:t>
      </w:r>
    </w:p>
    <w:p>
      <w:r>
        <w:rPr>
          <w:b/>
        </w:rPr>
        <w:t xml:space="preserve">Quelle: </w:t>
      </w:r>
      <w:r>
        <w:t>https://mcp.opencaselaw.ch/entscheid/bger_4D_164_2025</w:t>
      </w:r>
    </w:p>
    <w:p>
      <w:r>
        <w:t>FR: TF 4D_164/2025 du 29 octobre 2025</w:t>
      </w:r>
    </w:p>
    <w:p>
      <w:r>
        <w:t>IT: TF 4D_164/2025 del 29 ottobre 2025</w:t>
      </w:r>
    </w:p>
    <w:p>
      <w:pPr>
        <w:pStyle w:val="Heading2"/>
      </w:pPr>
      <w:r>
        <w:t>Erwägungen</w:t>
      </w:r>
    </w:p>
    <w:p>
      <w:r>
        <w:rPr>
          <w:b/>
        </w:rPr>
        <w:t>E. 1</w:t>
      </w:r>
    </w:p>
    <w:p>
      <w:r>
        <w:t>Das Obergericht des Kantons Aargau trat mit Entscheid vom 7. August 2025 auf die Beschwerde der Beschwerdeführerin gegen den Rechtsöffnungsentscheid des Bezirksgerichts Lenzburg vom 9. Mai 2025 nicht ein. Dagegen erhebt die Beschwerdeführerin mit Eingabe vom 9. September 2025 Beschwerde an das Bundesgericht.</w:t>
      </w:r>
    </w:p>
    <w:p>
      <w:r>
        <w:rPr>
          <w:b/>
        </w:rPr>
        <w:t>E. 2</w:t>
      </w:r>
    </w:p>
    <w:p>
      <w:r>
        <w:t>Diese Eingabe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Bei diesem Ausgang des Verfahrens sind die Gerichtskosten der Beschwerdeführerin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