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4D_15/2024 vom 29. November 2024</w:t>
      </w:r>
    </w:p>
    <w:p>
      <w:r>
        <w:t>Bundesgericht, 2024-11-29, FR</w:t>
      </w:r>
    </w:p>
    <w:p>
      <w:r>
        <w:rPr>
          <w:b/>
        </w:rPr>
        <w:t xml:space="preserve">Quelle: </w:t>
      </w:r>
      <w:r>
        <w:t>https://mcp.opencaselaw.ch/entscheid/bger_4D_15_2024</w:t>
      </w:r>
    </w:p>
    <w:p>
      <w:r>
        <w:t>FR: TF 4D_15/2024 du 29 novembre 2024</w:t>
      </w:r>
    </w:p>
    <w:p>
      <w:r>
        <w:t>IT: TF 4D_15/2024 del 29 novembre 2024</w:t>
      </w:r>
    </w:p>
    <w:p>
      <w:pPr>
        <w:pStyle w:val="Heading2"/>
      </w:pPr>
      <w:r>
        <w:t>Erwägungen</w:t>
      </w:r>
    </w:p>
    <w:p>
      <w:r>
        <w:rPr>
          <w:b/>
        </w:rPr>
        <w:t>E. 1</w:t>
      </w:r>
    </w:p>
    <w:p>
      <w:r>
        <w:t>Dans la mesure où la valeur litigieuse minimale applicable de 30'000 fr. ( art. 74 al. 1 let. b LTF ) n'est pas atteinte et où le recourant ne prétend ni ne démontre que l'affaire présenterait une question juridique de principe ( art. 74 al. 2 let. a LTF ), les conditions de recevabilité du recours en matière civile ne sont pas remplies et la voie du recours constitutionnel subsidiaire au sens des art. 113 ss LTF est en principe ouverte. Les autres conditions de recevabilité du recours constitutionnel subsidiaire sont réalisées, notamment celle relative au délai de recours ( art. 46 al. 1 let . c, 100 al. 1 et 117 LTF).</w:t>
      </w:r>
    </w:p>
    <w:p>
      <w:r>
        <w:rPr>
          <w:b/>
        </w:rPr>
        <w:t>E. 2.1</w:t>
      </w:r>
    </w:p>
    <w:p>
      <w:r>
        <w:t>Comme son intitulé l'indique, le recours constitutionnel subsidiaire peut être formé pour violation des droits constitutionnels ( art. 116 LTF ). Le Tribunal fédéral n'examine que les griefs expressément soulevés et motivés conformément au principe de l'allégation ( art. 106 al. 2 et art. 117 LTF ). Le recourant doit indiquer quel droit ou principe constitutionnel a été violé par l'autorité précédente et dans quelle mesure, en présentant une argumentation claire et circonstanciée; des critiques simplement appellatoires ne sont pas admissibles ( ATF 143 II 283 consid. 1.2.2; 139 I 229 consid. 2.2; 134 II 244 consid. 2.2).</w:t>
      </w:r>
    </w:p>
    <w:p>
      <w:r>
        <w:t>Lorsqu'elle soulève le grief d'arbitraire ( art. 9 Cst. ) dans l'application du droit, la partie recourante ne peut se contenter de plaider que la décision attaquée serait arbitraire. Elle doit expliquer, sur la base de la subsomption opérée dans le cas concret, en quoi la décision attaquée méconnaît gravement une norme ou un principe juridique clair et indiscuté, ou encore heurte de manière choquante le sentiment de la justice et de l'équité. L'arbitraire, prohibé par l' art. 9 Cst. , ne résulte pas du seul fait qu'une autre solution serait concevable, voire préférable. Le Tribunal fédéral ne s'écarte de la solution retenue par l'autorité cantonale de dernière instance que si la décision entreprise apparaît insoutenable, en contradiction manifeste avec la situation effective, adoptée sans motifs objectifs ou en violation d'un droit certain. Il ne suffit pas que les motifs de la décision soient insoutenables; encore faut-il que celle-ci soit arbitraire dans son résultat ( ATF 144 III 145 consid. 2; 141 III 564 consid. 4.1 et les arrêts cités). Le Tribunal fédéral n'a pas à examiner quelle est l'interprétation correcte que l'autorité cantonale aurait dû donner des dispositions applicables; il doit uniquement dire si l'interprétation qui a été faite est défendable ( ATF 144 III 145 consid. 2; 132 I 13 consid. 5.1).</w:t>
      </w:r>
    </w:p>
    <w:p>
      <w:r>
        <w:rPr>
          <w:b/>
        </w:rPr>
        <w:t>E. 2.2</w:t>
      </w:r>
    </w:p>
    <w:p>
      <w:r>
        <w:t>Le Tribunal fédéral statue sur la base des faits établis par l'autorité précédente ( art. 118 al. 1 LTF ). Il peut rectifier ou compléter les constatations de l'autorité précédente si les faits ont été établis en violation du droit au sens de l' art. 116 LTF ( art. 118 al. 2 LTF ), c'est-à-dire s'ils sont arbitraires au sens de l' art. 9 Cst. La critique de l'état de fait retenu est soumise au principe strict de l'allégation énoncé par l' art. 106 al. 2 LTF ( ATF 140 III 264 consid. 2.3 et les arrêts cités).</w:t>
      </w:r>
    </w:p>
    <w:p>
      <w:r>
        <w:t>En matière d'appréciation des preuves et d'établissement des faits, le Tribunal fédéral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140 III 264 consid. 2.3; 137 III 226 consid. 4.2; 136 III 552 consid. 4.2).</w:t>
      </w:r>
    </w:p>
    <w:p>
      <w:r>
        <w:rPr>
          <w:b/>
        </w:rPr>
        <w:t>E. 3</w:t>
      </w:r>
    </w:p>
    <w:p>
      <w:r>
        <w:t>Tout d'abord, le recourant reproche à la cour cantonale d'avoir refusé de procéder à son interrogatoire. Il n'avait ainsi pas pu s'exprimer oralement, contrairement à l'intimé. Il y décèle une atteinte à l'égalité des armes entre les parties et dénonce une violation de l' art. 6 CEDH .</w:t>
      </w:r>
    </w:p>
    <w:p>
      <w:r>
        <w:rPr>
          <w:b/>
        </w:rPr>
        <w:t>E. 3.1</w:t>
      </w:r>
    </w:p>
    <w:p>
      <w:r>
        <w:t>Le principe de l'égalité des armes, tel qu'il découle du droit à un procès équitable prévu par les art. 29 al. 1 Cst. et 6 par. 1 CEDH, exige un juste équilibre entre les parties: chacune doit se voir offrir une possibilité raisonnable de présenter sa cause dans des conditions qui ne la placent pas dans une situation de net désavantage par rapport à son ou ses adversaire (s) ( ATF 139 I 121 consid. 4.2.1; 137 IV 172 consid. 2.6; arrêt CEDH</w:t>
      </w:r>
    </w:p>
    <w:p>
      <w:r>
        <w:t>Ali Riza c. Suisse du 13 juillet 2021, § 129).</w:t>
      </w:r>
    </w:p>
    <w:p>
      <w:r>
        <w:rPr>
          <w:b/>
        </w:rPr>
        <w:t>E. 3.2</w:t>
      </w:r>
    </w:p>
    <w:p>
      <w:r>
        <w:t>La cour cantonale a relevé que l'appelant se prévalait d'une violation de son droit d'être entendu, dans la mesure où le premier juge avait renoncé à l'interroger, et sollicitait son audition. Elle a laissé ouverte la question d'une violation du droit d'être entendu, en soulignant que l'intéressé admettait lui-même qu'une éventuelle violation pouvait être réparée en appel. Toutefois, selon la cour cantonale, il ne disposait pas d'un droit à s'exprimer oralement devant elle et il n'indiquait pas ce que son audition serait susceptible d'apporter comme éléments déterminants pour l'issue du litige en sus de ses déterminations écrites. La cour cantonale a ainsi rejeté la demande d'audition de l'appelant.</w:t>
      </w:r>
    </w:p>
    <w:p>
      <w:r>
        <w:rPr>
          <w:b/>
        </w:rPr>
        <w:t>E. 3.3.1</w:t>
      </w:r>
    </w:p>
    <w:p>
      <w:r>
        <w:t>Le recourant semble d'abord faire grief aux juges cantonaux d'avoir retenu que son droit d'être entendu "était garanti par ses écritures", de sorte qu'il n'était pas nécessaire de procéder à son interrogatoire, et y voit une violation du principe de l'égalité des armes.</w:t>
      </w:r>
    </w:p>
    <w:p>
      <w:r>
        <w:t>Or, le recourant perd de vue que la cour cantonale, pour refuser cette audition, lui a reproché à juste titre de ne pas avoir exposé quels éléments il aurait pu livrer à cette occasion et en quoi ceux-ci auraient été pertinents. En effet, il incombe à la partie qui se prévaut d'une violation de son droit d'être entendue - ce que l'intéressé a invoqué devant la cour cantonale - d'indiquer quels arguments elle aurait fait valoir dans la procédure et en quoi ceux-ci auraient été pertinents (cf. arrêts 4A_641/2023 du 17 septembre 2024 consid. 4.1.2; 4A_30/2021 du 16 juillet 2021 consid. 4.1; 4D_31/2021 du 22 juin 2021 consid. 2.1; 4A_162/2021 du 12 mai 2021 consid. 5.2 et les arrêts cités). Dans son recours, l'intéressé n'a d'ailleurs en rien infirmé le constat de l'autorité cantonale, selon lequel il n'avait pas fourni de telles indications.</w:t>
      </w:r>
    </w:p>
    <w:p>
      <w:r>
        <w:rPr>
          <w:b/>
        </w:rPr>
        <w:t>E. 3.3.2</w:t>
      </w:r>
    </w:p>
    <w:p>
      <w:r>
        <w:t>Le recourant se plaint ensuite d'une violation du principe de l'égalité des armes, dans la mesure où il n'avait pas pu s'exprimer par oral, contrairement à l'intimé. Il ajoute que, s'agissant des informations litigieuses que l'intimé lui aurait fournies lors d'une séance début 2012, l'arrêt attaqué a retenu la version alléguée par celui-ci, en se fondant sur le témoignage de son ancienne collaboratrice. Seuls l'intimé, sa collaboratrice et le recourant avaient participé à cette séance. Ainsi, selon le recourant, le refus de procéder à son audition l'avait placé dans une situation de net désavantage au sens de la jurisprudence, puisqu'il n'avait pas pu donner oralement sa version des faits concernant cette séance. Il se réfère à l'arrêt CEDH</w:t>
      </w:r>
    </w:p>
    <w:p>
      <w:r>
        <w:t>Dombo Beheer B.V. c. Pays-Bas du 27 octobre 1993 § 33 ss. Il précise encore qu'il était la partie faible, puisqu'il avait fait appel à un avocat pour l'orienter sur les mesures à prendre dont il n'avait lui-même aucune idée, n'étant pas juriste.</w:t>
      </w:r>
    </w:p>
    <w:p>
      <w:r>
        <w:t>Toutefois, c'est déjà auprès du Tribunal de première instance que seuls l'intimé et sa collaboratrice ont été entendus oralement. Le premier juge avait alors déjà retenu la version des faits alléguée par l'intimé. Devant la cour cantonale, le recourant n'a pas soulevé le moyen tiré de l'égalité des armes tel qu'il le soumet désormais au Tribunal fédéral. Cet argument est dès lors irrecevable, faute de satisfaire au principe de l'épuisement des griefs ( ATF 147 III 172 consid. 2.2; 143 III 290 consid. 1.1).</w:t>
      </w:r>
    </w:p>
    <w:p>
      <w:r>
        <w:t>Au demeurant, il est vrai que dans l'arrêt CEDH</w:t>
      </w:r>
    </w:p>
    <w:p>
      <w:r>
        <w:t>Dombo Beheer B.V. c. Pays-Bas dont se prévaut le recourant, deux personnes avaient assisté à la réunion au cours de laquelle un prétendu accord verbal aurait été conclu: un représentant de Dombo Beheer B.V. et un représentant d'une banque. La cour d'appel a autorisé le second à témoigner, mais a refusé à Dombo Beheer B.V. la possibilité de citer son propre représentant, au motif qu'il s'identifiait à elle. Par la suite, la Cour de cassation a rejeté le grief relatif à l' art. 6 par. 1 CEDH . La Cour européenne des Droits de l'Homme a quant à elle relevé que pendant les négociations pertinentes, les deux représentants avaient agi sur un pied d'égalité, chacun d'eux étant habilité à traiter au nom de son mandant, de sorte qu'elle voyait mal pourquoi ils n'avaient pas pu déposer tous les deux. Elle a ainsi considéré que Dombo Beheer B.V. avait été placée dans une situation de net désavantage par rapport à la banque, en violation de l' art. 6 par. 1 CEDH . Toutefois, dans la présente cause, le recourant n'a pas pu déposer car il a, en première instance, informé à plusieurs reprises qu'il ne pourrait pas participer aux audiences fixées, tant devant les autorités suisses que françaises, de sorte qu'il a été constaté que son audition ne pouvait pas être exécutée. Devant la cour cantonale, il ne s'est pas prévalu du principe de l'égalité des armes et, sous l'angle du droit d'être entendu, n'a pas expliqué quels éléments, en plus de ceux figurant dans ses écritures, il aurait pu faire valoir oralement. Les circonstances ne sont donc pas les mêmes que celles de l'arrêt CEDH précité.</w:t>
      </w:r>
    </w:p>
    <w:p>
      <w:r>
        <w:rPr>
          <w:b/>
        </w:rPr>
        <w:t>E. 4</w:t>
      </w:r>
    </w:p>
    <w:p>
      <w:r>
        <w:t>Ensuite, le recourant dénonce une application arbitraire de l' art. 8 CC , en faisant valoir que l'intimé a échoué à apporter la preuve de son allégation selon laquelle il l'avait correctement informé. Le recourant se prévaut aussi d'un établissement arbitraire des faits en lien avec l'appréciation du témoignage de l'ancienne collaboratrice de l'intimé.</w:t>
      </w:r>
    </w:p>
    <w:p>
      <w:r>
        <w:rPr>
          <w:b/>
        </w:rPr>
        <w:t>E. 4.1</w:t>
      </w:r>
    </w:p>
    <w:p>
      <w:r>
        <w:t>L' art. 8 CC règle la répartition du fardeau de la preuve et détermine quelle partie doit assumer les conséquences de l'échec de la preuve. En règle générale, la preuve d'un fait contesté n'est rapportée au regard de l' art. 8 CC que si le juge a acquis la conviction de l'existence de ce fait. Une certitude absolue n'est pas nécessaire, mais le juge ne doit plus avoir de doutes sérieux; les éventuels doutes qui subsistent doivent apparaître légers ( ATF 130 III 321 consid. 3.2). Lorsqu'il est saisi du grief de violation de l' art. 8 CC , le Tribunal fédéral peut contrôler si l'autorité précédente est partie d'une juste conception du degré de la preuve. En revanche, le point de savoir si le degré requis - dont le juge a une juste conception - est atteint dans un cas concret relève de l'appréciation des preuves, que le Tribunal fédéral revoit uniquement sous l'angle de l'arbitraire ( ATF 130 III 321 consid. 5). Lorsque l'appréciation des preuves convainc le juge qu'un fait est établi ou réfuté, la question de la répartition du fardeau de la preuve ne se pose plus et le grief tiré de la violation de l' art. 8 CC devient sans objet ( ATF 141 III 241 consid. 3.2; 130 III 591 consid. 5.4).</w:t>
      </w:r>
    </w:p>
    <w:p>
      <w:r>
        <w:rPr>
          <w:b/>
        </w:rPr>
        <w:t>E. 4.2</w:t>
      </w:r>
    </w:p>
    <w:p>
      <w:r>
        <w:t>La cour cantonale a relevé que conformément aux instructions de l'appelant, qui souhaitait initialement se départir du contrat de vente pour obtenir le remboursement de ses acomptes, l'intimé avait signifié par courrier au vendeur la résolution du contrat, qui l'avait contestée par lettre du 22 décembre 2011. Après avoir appris que le vendeur pouvait être insolvable, l'appelant avait craint de ne plus pouvoir récupérer ses acomptes. La question d'un changement de stratégie consistant à réclamer l'exécution du contrat de vente avec une diminution du prix a été discutée.</w:t>
      </w:r>
    </w:p>
    <w:p>
      <w:r>
        <w:t>Selon les déclarations du 14 septembre 2021 de la collaboratrice en charge du dossier avec l'intimé - laquelle n'était alors plus liée professionnellement à ce dernier depuis 2019 et dont la valeur probante jouissait d'une grande force -, elle avait assisté à la réunion lors de laquelle l'appelant avait été dûment informé du caractère irrévocable de la résolution de la vente et des faibles chances de succès d'un changement de stratégie, le client ayant toutefois souhaité suivre cette voie.</w:t>
      </w:r>
    </w:p>
    <w:p>
      <w:r>
        <w:t>Conformément aux souhaits de l'appelant, l'intimé avait ainsi adressé un courrier au vendeur le 22 février 2012, indiquant que son client renonçait à la résolution du contrat et entendait réclamer la diminution du prix. L'intimé avait ensuite déposé une requête de mesures provisionnelles, après avoir demandé à son client, par courriel du 22 juin 2012, de lui confirmer son intention d'agir en ce sens.</w:t>
      </w:r>
    </w:p>
    <w:p>
      <w:r>
        <w:t>Au vu de la position adoptée par le vendeur dans son courrier du 22 décembre 2011, la tentative de revenir sur la résolution du contrat n'était pas dénuée de toute chance de succès et s'inscrivait dans le souhait du client de détenir le bateau plutôt qu'une créance, d'autant plus que l'intimé ne savait alors pas que l'entrepositaire du bateau et le vendeur étaient liés et bénéficiaient des conseils du même avocat.</w:t>
      </w:r>
    </w:p>
    <w:p>
      <w:r>
        <w:t>Dès lors, la cour cantonale a retenu que l'intimé avait dûment informé l'appelant des risques liés à un changement de stratégie, qu'il l'avait conseillé avec diligence et entrepris avec soin les démarches en faveur de celui-ci. Le dépôt par l'avocat des mesures provisionnelles litigieuses ne procédait pas d'une violation de ses obligations contractuelles de mandataire diligent.</w:t>
      </w:r>
    </w:p>
    <w:p>
      <w:r>
        <w:rPr>
          <w:b/>
        </w:rPr>
        <w:t>E. 4.3</w:t>
      </w:r>
    </w:p>
    <w:p>
      <w:r>
        <w:t>Les juges cantonaux étaient ainsi convaincus, au terme d'une appréciation des preuves, que l'intimé avait dûment informé le recourant lors d'une réunion des risques liés à un changement de stratégie. Dans ces conditions, la question de la répartition du fardeau de la preuve est dénuée de pertinence et le grief de violation arbitraire de l' art. 8 CC tombe à faux. Le recourant devait s'en prendre à l'appréciation des preuves effectuée par la cour cantonale, en démontrant que le constat auquel elle a abouti est arbitraire.</w:t>
      </w:r>
    </w:p>
    <w:p>
      <w:r>
        <w:t>A cet égard, le recourant soutient que le témoignage de l'ancienne collaboratrice de l'intimé ne disposerait d'aucune force probante; comme elle était sa collaboratrice au moment des faits, elle était son auxiliaire et engage la responsabilité de son ancien employeur en vertu de l' art. 55 CO . Or, cette seule affirmation ne fait pas apparaître comme insoutenable l'appréciation des juges cantonaux, lesquels ont accordé une force probante aux déclarations de l'ancienne collaboratrice en retenant qu'elle n'était plus liée professionnellement à l'intimé - et ce depuis plus de deux ans - au moment de ses déclarations. On voit mal en quoi l' art. 55 CO rendrait cette appréciation arbitraire, d'autant plus que l'intimé a également participé à la réunion en question. Pour le surplus, le recourant se limite à opposer sa propre appréciation à celle de la cour cantonale, en particulier lorsqu'il tente d'invoquer (sous un autre grief) que le courriel du 22 juin 2012 ne contenait aucun avertissement sur le caractère risqué de la démarche, ce que, selon le recourant, l'intimé n'aurait pas manqué de rappeler s'il l'avait réellement averti lors de la séance précédente.</w:t>
      </w:r>
    </w:p>
    <w:p>
      <w:r>
        <w:rPr>
          <w:b/>
        </w:rPr>
        <w:t>E. 5</w:t>
      </w:r>
    </w:p>
    <w:p>
      <w:r>
        <w:t>Le recourant soutient encore que la cour cantonale aurait établi les faits de manière arbitraire sur deux points.</w:t>
      </w:r>
    </w:p>
    <w:p>
      <w:r>
        <w:t>En premier lieu, la cour cantonale aurait retenu à tort que l'intimé ne savait pas que l'entrepositaire du bateau et le vendeur étaient liés et bénéficiaient des conseils du même avocat. Le recourant soutient que l'intimé en avait connaissance. Il allègue, références à l'appui, avoir déjà relevé précédemment que l'intimé avait, dans sa requête de mesures provisionnelles, exposé qu'il apparaissait évident que l'entrepositaire du bateau avait pris fait et cause pour le vendeur et qu'il considérait ce dernier comme le propriétaire du bateau. Ce seul élément, à savoir une phrase énoncée dans la requête de mesures provisionnelles rédigée par l'intimé, ne permet toutefois pas de considérer que la cour cantonale aurait arbitrairement retenu que l'intimé n'était pas au courant, notamment, du fait que le vendeur et l'entrepositaire bénéficiaient des conseils du même avocat. Pour ce motif déjà, ce grief ne peut prospérer.</w:t>
      </w:r>
    </w:p>
    <w:p>
      <w:r>
        <w:t>En second lieu, le recourant reproche à la cour cantonale d'avoir constaté qu'il aurait allégué que l'intimé n'avait pas justifié avoir reçu pour instruction d'introduire la requête de mesures provisionnelles. Il invoque qu'il n'a pas soulevé une telle allégation; il avait seulement fait valoir que le courriel du 22 juin 2012 ne contenait aucun avertissement sur le caractère risqué de la démarche. Il se limite à en déduire que le jugement s'écarte de ses écritures, et que la cour cantonale avait pris des libertés qu'elle n'aurait pas pu s'autoriser si elle avait procédé à son audition. Ce faisant, le recourant n'expose pas en quoi la correction de ce fait serait de nature à influer sur l'issue du litige. Une telle incidence ne saute d'ailleurs pas aux yeux.</w:t>
      </w:r>
    </w:p>
    <w:p>
      <w:r>
        <w:rPr>
          <w:b/>
        </w:rPr>
        <w:t>E. 6</w:t>
      </w:r>
    </w:p>
    <w:p>
      <w:r>
        <w:t>En définitive, le recours doit être rejeté, dans la mesure où il est recevable.</w:t>
      </w:r>
    </w:p>
    <w:p>
      <w:r>
        <w:t>Le recourant, qui succombe, prendra en charge les frais judiciaires ( art. 66 al. 1 LTF ). En revanche, il n'aura pas à indemniser l'intimé, lequel n'a pas été invité à déposer une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