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15/2015 vom 17. März 2015</w:t>
      </w:r>
    </w:p>
    <w:p>
      <w:r>
        <w:t>Bundesgericht, 2015-03-17, IT</w:t>
      </w:r>
    </w:p>
    <w:p>
      <w:r>
        <w:rPr>
          <w:b/>
        </w:rPr>
        <w:t xml:space="preserve">Quelle: </w:t>
      </w:r>
      <w:r>
        <w:t>https://mcp.opencaselaw.ch/entscheid/bger_4D_15_2015</w:t>
      </w:r>
    </w:p>
    <w:p>
      <w:r>
        <w:t>FR: TF 4D 15/2015 du 17 mars 2015</w:t>
      </w:r>
    </w:p>
    <w:p>
      <w:r>
        <w:t>IT: TF 4D 15/2015 del 17 marzo 2015</w:t>
      </w:r>
    </w:p>
    <w:p>
      <w:pPr>
        <w:pStyle w:val="Heading2"/>
      </w:pPr>
      <w:r>
        <w:t>Regeste</w:t>
      </w:r>
    </w:p>
    <w:p>
      <w:r>
        <w:t>tassazione della nota d'onorario del patroncinatore gratuito | Diritto delle obbligazioni (in generale)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alle parti e alla III Camera civile del Tribunale d'appello del Cantone Ticino. Losanna, 17 marzo 2015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