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4D_158/2024 vom 20. November 2024</w:t>
      </w:r>
    </w:p>
    <w:p>
      <w:r>
        <w:t>Bundesgericht, 2024-11-20, DE</w:t>
      </w:r>
    </w:p>
    <w:p>
      <w:r>
        <w:rPr>
          <w:b/>
        </w:rPr>
        <w:t xml:space="preserve">Quelle: </w:t>
      </w:r>
      <w:r>
        <w:t>https://mcp.opencaselaw.ch/entscheid/bger_4D_158_2024</w:t>
      </w:r>
    </w:p>
    <w:p>
      <w:r>
        <w:t>FR: TF 4D_158/2024 du 20 novembre 2024</w:t>
      </w:r>
    </w:p>
    <w:p>
      <w:r>
        <w:t>IT: TF 4D_158/2024 del 20 novembre 2024</w:t>
      </w:r>
    </w:p>
    <w:p>
      <w:pPr>
        <w:pStyle w:val="Heading2"/>
      </w:pPr>
      <w:r>
        <w:t>Erwägungen</w:t>
      </w:r>
    </w:p>
    <w:p>
      <w:r>
        <w:rPr>
          <w:b/>
        </w:rPr>
        <w:t>E. 1</w:t>
      </w:r>
    </w:p>
    <w:p>
      <w:r>
        <w:t>Mit Entscheid vom 8. März 2024 schrieb das Bezirksgericht Arbon ein von der Beschwerdeführerin eingeleitetes Verfahren zufolge Vergleichs ab.</w:t>
      </w:r>
    </w:p>
    <w:p>
      <w:r>
        <w:t>Mit Entscheid vom 14. August 2014 wies das Obergericht des Kantons Thurgau eine von der Beschwerdeführerin gegen den bezirksgerichtlichen Abschreibungsentscheid vom 8. März 2024 erhobene Beschwerde ab, soweit es darauf eintrat.</w:t>
      </w:r>
    </w:p>
    <w:p>
      <w:r>
        <w:t>Mit Eingabe vom 24. September 2024 erklärte die Beschwerdeführerin dem Bundesgericht, den Entscheid des Obergerichts des Kantons Thurgau vom 14. August 2024 mit Beschwerde anfechten zu wollen.</w:t>
      </w:r>
    </w:p>
    <w:p>
      <w:r>
        <w:t>Mit Eingabe vom 14. Oktober 2024 ersuchte die Beschwerdeführerin um Gewährung der unentgeltlichen Rechtspflege samt Rechtsbeistand.</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nicht hinreichend mit den Erwägungen des angefochtenen Entscheids des Obergerichts des Kantons Thurgau vom 14. August 2024 auseinander und zeigt nicht rechtsgenügend auf, inwiefern die Vorinstanz mit ihrem Entscheid Bundesrecht verletzt hätte. Vielmehr unterbreitet sie dem Bundesgericht in unzulässiger Weise ihre eigene Sicht der Dinge, ohne eine hinreichende Sachverhaltsrüge zu erheben.</w:t>
      </w:r>
    </w:p>
    <w:p>
      <w:r>
        <w:t>Auf die Beschwerde ist somit im vereinfachten Verfahren nach Art. 108 Abs. 1 lit. b BGG nicht einzutreten.</w:t>
      </w:r>
    </w:p>
    <w:p>
      <w:r>
        <w:rPr>
          <w:b/>
        </w:rPr>
        <w:t>E. 3</w:t>
      </w:r>
    </w:p>
    <w:p>
      <w:r>
        <w:t>Das Gesuch um unentgeltliche Rechtspflege samt Rechtsbeistand für das bundesgerichtliche Verfahren ist bereits wegen Aussichtslosigkeit der Beschwerde abzuweisen ( Art. 64 Abs. 1 BGG ). Unter den gegebenen Umständen ist jedoch ausnahmsweise auf die Erhebung von Gerichtskosten zu verzichten (Art. 66 Abs. 1 zweiter Satz BGG). Den Beschwerdegegnern steht keine Parteientschädigung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