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4D_150/2024 vom 10. März 2025</w:t>
      </w:r>
    </w:p>
    <w:p>
      <w:r>
        <w:t>Bundesgericht, 2025-03-10, FR</w:t>
      </w:r>
    </w:p>
    <w:p>
      <w:r>
        <w:rPr>
          <w:b/>
        </w:rPr>
        <w:t xml:space="preserve">Quelle: </w:t>
      </w:r>
      <w:r>
        <w:t>https://mcp.opencaselaw.ch/entscheid/bger_4D_150_2024</w:t>
      </w:r>
    </w:p>
    <w:p>
      <w:r>
        <w:t>FR: TF 4D_150/2024 du 10 mars 2025</w:t>
      </w:r>
    </w:p>
    <w:p>
      <w:r>
        <w:t>IT: TF 4D_150/2024 del 10 marzo 2025</w:t>
      </w:r>
    </w:p>
    <w:p>
      <w:pPr>
        <w:pStyle w:val="Heading2"/>
      </w:pPr>
      <w:r>
        <w:t>Erwägungen</w:t>
      </w:r>
    </w:p>
    <w:p>
      <w:r>
        <w:rPr>
          <w:b/>
        </w:rPr>
        <w:t>E. 1</w:t>
      </w:r>
    </w:p>
    <w:p>
      <w:r>
        <w:t>Interjeté dans le délai fixé par la loi ( art. 100 al. 1, art. 45 al. 1 et art. 117 LTF ) et dirigé contre une décision finale ( art. 90 et 117 LTF ) rendue sur appel par le tribunal supérieur du canton du Valais ( art. 75 et 114 LTF ) dans une affaire en matière civile ( art. 72 al. 1 LTF ) dont la valeur litigieuse ne satisfait pas aux conditions du recours en matière civile et dont le recourant ne prétend ni ne démontre qu'elle présenterait une question juridique de principe ( art. 74 al. 1 let. b, art. 74 al. 2 let. a et art. 113 LTF ), la voie du recours constitutionnel subsidiaire est en principe ouverte.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Le recourant a effectué un "résumé des faits" et se fonde sur de nombreux faits qui n'ont pas été constatés par la cour cantonale. Dès lors qu'il n'invoque ni ne démontre, par des renvois précis aux pièces du dossier, qu'il aurait présenté aux autorités précédentes, en conformité avec les règles de la procédure, les faits juridiquement pertinents à cet égard et les moyens de preuve adéquats, la Cour de céans ne saurait tenir compte de ces éléments (cf.</w:t>
      </w:r>
    </w:p>
    <w:p>
      <w:r>
        <w:t>supra consid. 2.2).</w:t>
      </w:r>
    </w:p>
    <w:p>
      <w:r>
        <w:rPr>
          <w:b/>
        </w:rPr>
        <w:t>E. 3</w:t>
      </w:r>
    </w:p>
    <w:p>
      <w:r>
        <w:t>Le recourant reproche à la cour cantonale d'avoir commis un déni de justice et invoque une violation des art. 29 Cst. et 6 CEDH.</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4A_555/2023 précité consid. 3.2.1; 4A_61/2023 précité consid. 3.1; 4A_266/2020 du 23 septembre 2020 consid.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w:t>
      </w:r>
    </w:p>
    <w:p>
      <w:r>
        <w:rPr>
          <w:b/>
        </w:rPr>
        <w:t>E. 3.2</w:t>
      </w:r>
    </w:p>
    <w:p>
      <w:r>
        <w:t>En substance, la cour cantonale a retenu que c'était à juste titre que le premier juge avait considéré que les honoraires réclamés par le demandeur ne pouvaient être établis, faute d'allégations suffisantes sur l'étendue de l'activité exercée par celui-ci. En outre, elle a en substance considéré que les exigences posées en matière d'allégation des faits n'étaient pas constitutives d'un formalisme excessif et qu'un tel formalisme ne saurait être en l'espèce retenu, dès lors qu'il n'apparaissait pas excessif d'attendre du demandeur qu'il indiquât pour chaque facture dans ses allégués, vu que cela ne ressortait pas des factures produites, à tout le moins son tarif, le nombre d'heures effectuées, ses débours et la personne qui était redevable de ses honoraires.</w:t>
      </w:r>
    </w:p>
    <w:p>
      <w:r>
        <w:rPr>
          <w:b/>
        </w:rPr>
        <w:t>E. 3.3</w:t>
      </w:r>
    </w:p>
    <w:p>
      <w:r>
        <w:t>Le recourant reproche à la cour cantonale de ne pas avoir "vidé [sa] saisine", de s'être presque exclusivement fondée sur des motifs procéduraux et d'avoir admis que la contestation effectuée par les intimés était valable. Il invoque que le droit de procédure ne doit pas faire obstacle à la concrétisation du droit matériel, qu'il a indiqué avec suffisamment de précision l'activité qu'il avait déployée et que les intimés ont contesté ses allégués en bloc. Il fait grief à l'instance précédente d'avoir retenu qu'il n'avait pas allégué l'existence d'un accord des parties quant à sa rémunération, quand bien même C.________ aurait payé de nombreuses notes de frais et d'honoraires intermédiaires et le mandat aurait été onéreux, et de ne pas avoir jugé que C.________ avait commis un abus de droit en contestant le principe et la quotité de ses prétentions. Enfin, il argue que la cour cantonale n'aurait pas traité sa conclusion subsidiaire tendant au renvoi de la cause au tribunal de première instance, ce qui devrait selon lui "amener le Tribunal fédéral à interpeller les défendeurs pour rechercher une issue transactionnelle".</w:t>
      </w:r>
    </w:p>
    <w:p>
      <w:r>
        <w:t>En outre, le recourant invoque en substance pêle-mêle (1) que les honoraires litigieux représentent une somme importante pour lui, (2) qu'il était lié aux intimés par un contrat de mandat et qu'une rémunération lui est donc due, (3) qu'il a déployé une activité importante et que son droit à une rémunération est ainsi établi, (4) que le décompte des opérations permettait de comprendre la nature et la quotité de ses prétentions, (5) que le fardeau de l'allégation doit être proportionné et adapté aux circonstances, (6) que ses allégués répondaient aux exigences de motivation et (7) que le Tribunal cantonal aurait dû garder à l'esprit le principe de la</w:t>
      </w:r>
    </w:p>
    <w:p>
      <w:r>
        <w:t>Laienfreundlichkeit . Enfin, le recourant soutient que l'arrêt entrepris serait "entaché d'arbitraire, de dénis de justice et de violation de ses droits autres fondamentaux fondamentaux [sic], d'une prise en considération de faits établis de façon inexacte et en violation manifeste du droit, notamment de l'application du CPC".</w:t>
      </w:r>
    </w:p>
    <w:p>
      <w:r>
        <w:rPr>
          <w:b/>
        </w:rPr>
        <w:t>E. 3.4</w:t>
      </w:r>
    </w:p>
    <w:p>
      <w:r>
        <w:t>À bien le comprendre, le recourant se plaint d'une violation de son droit d'être entendu, dans la mesure où la cour cantonale n'aurait pas "vidé [sa] saisine". Dès lors notamment que le recourant n'invoque ni ne démontre que la cour cantonale aurait omis d'examiner des questions décisives pour l'issue du litige, il ne saurait être retenu que l'instance précédente aurait violé son droit d'être entendu.</w:t>
      </w:r>
    </w:p>
    <w:p>
      <w:r>
        <w:t>Pour autant que l'on puisse comprendre de son argumentation que le recourant reproche à la cour cantonale d'avoir fait preuve de formalisme excessif, force est de constater que la critique du recourant, en grande partie appellatoire, ne s'en prend pas valablement à la motivation de l'arrêt entrepris, qui a notamment retenu que les exigences posées en matière d'allégation des faits n'étaient pas constitutives d'un formalisme excessif. Partant, dite critique est irrecevable ( art. 106 al. 2 LTF ).</w:t>
      </w:r>
    </w:p>
    <w:p>
      <w:r>
        <w:t>Dès lors que la cour cantonale a, à l'instar du premier juge, retenu que les allégués du demandeur ne répondaient pas aux exigences de motivation requises et que sa demande devait donc être rejetée, le recourant ne saurait non plus être suivi lorsqu'il affirme que l'instance précédente aurait dû renvoyer la cause devant le premier juge.</w:t>
      </w:r>
    </w:p>
    <w:p>
      <w:r>
        <w:t>Pour le reste, le recourant n'indique pas, dans une argumentation claire et circonstanciée, quel droit ou principe constitutionnel aurait été violé par l'autorité précédente et dans quelle mesure, de sorte que sa critique ne répond pas aux exigences de motivation applicables (cf.</w:t>
      </w:r>
    </w:p>
    <w:p>
      <w:r>
        <w:t>supra consid. 2.1) et qu'elle est, partant, irrecevable.</w:t>
      </w:r>
    </w:p>
    <w:p>
      <w:r>
        <w:rPr>
          <w:b/>
        </w:rPr>
        <w:t>E. 4</w:t>
      </w:r>
    </w:p>
    <w:p>
      <w:r>
        <w:t>Le recours doit par conséquent être rejeté, dans la mesure de sa recevabilité, selon la procédure simplifiée prévue par l' art. 109 al. 2 let. a LTF , applicable par analogie en vertu de l' art. 117 LTF .</w:t>
      </w:r>
    </w:p>
    <w:p>
      <w:r>
        <w:t>Les frais judiciaires seront mis à la charge du recourant, qui succombe ( art. 66 al. 1 LTF ). Dans la mesure où les intimés n'ont pas été invités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