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4D_14/2024 vom 5. Februar 2024</w:t>
      </w:r>
    </w:p>
    <w:p>
      <w:r>
        <w:t>Bundesgericht, 2024-02-05, DE</w:t>
      </w:r>
    </w:p>
    <w:p>
      <w:r>
        <w:rPr>
          <w:b/>
        </w:rPr>
        <w:t xml:space="preserve">Quelle: </w:t>
      </w:r>
      <w:r>
        <w:t>https://mcp.opencaselaw.ch/entscheid/bger_4D_14_2024</w:t>
      </w:r>
    </w:p>
    <w:p>
      <w:r>
        <w:t>FR: TF 4D_14/2024 du 5 février 2024</w:t>
      </w:r>
    </w:p>
    <w:p>
      <w:r>
        <w:t>IT: TF 4D_14/2024 del 5 febbraio 2024</w:t>
      </w:r>
    </w:p>
    <w:p>
      <w:pPr>
        <w:pStyle w:val="Heading2"/>
      </w:pPr>
      <w:r>
        <w:t>Erwägungen</w:t>
      </w:r>
    </w:p>
    <w:p>
      <w:r>
        <w:rPr>
          <w:b/>
        </w:rPr>
        <w:t>E. 1</w:t>
      </w:r>
    </w:p>
    <w:p>
      <w:r>
        <w:t>Mit Urteil vom 27. Januar 2023 verpflichtete der Amtsgerichtspräsident des Richteramts Olten-Gösgen den Beschwerdeführer, der Beschwerdegegnerin den Betrag von Fr. 10'462.65 zuzüglich Verzugszins zu 5 % seit 22. Dezember 2017, Bearbeitungskosten von Fr. 350.-- sowie Betreibungskosten von Fr. 103.30 zu bezahlen und beseitigte in diesem Umfang den Rechtsvorschlag in der eingeleiteten Betreibung.</w:t>
      </w:r>
    </w:p>
    <w:p>
      <w:r>
        <w:t>Mit Urteil vom 20. Dezember 2023 wies das Obergericht des Kantons Solothurn eine vom Beschwerdeführer gegen den Entscheid vom 27. Januar 2023 erhobene Berufung ab.</w:t>
      </w:r>
    </w:p>
    <w:p>
      <w:r>
        <w:t>Mit Eingabe vom 25. Januar 2024 erklärte der Beschwerdeführer dem Bundesgericht, das Urteil des Obergerichts vom 20. Dezember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25. Januar 2024 erfüllt die genannten Begründungsanforderungen offensichtlich nicht. Er zeigt nicht unter Bezugnahme auf die Erwägungen des angefochtenen Entscheids des Obergerichts des Kantons Solothurn vom 20. Dezember 2023 auf, inwiefern die Vorinstanz mit ihrem 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