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4D_14/2020 vom 27. März 2020</w:t>
      </w:r>
    </w:p>
    <w:p>
      <w:r>
        <w:t>Bundesgericht, 2020-03-27, DE</w:t>
      </w:r>
    </w:p>
    <w:p>
      <w:r>
        <w:rPr>
          <w:b/>
        </w:rPr>
        <w:t xml:space="preserve">Quelle: </w:t>
      </w:r>
      <w:r>
        <w:t>https://mcp.opencaselaw.ch/entscheid/bger_4D_14_2020</w:t>
      </w:r>
    </w:p>
    <w:p>
      <w:r>
        <w:t>FR: TF 4D_14/2020 du 27 mars 2020</w:t>
      </w:r>
    </w:p>
    <w:p>
      <w:r>
        <w:t>IT: TF 4D_14/2020 del 27 marzo 2020</w:t>
      </w:r>
    </w:p>
    <w:p>
      <w:pPr>
        <w:pStyle w:val="Heading2"/>
      </w:pPr>
      <w:r>
        <w:t>Volltext</w:t>
      </w:r>
    </w:p>
    <w:p>
      <w:r>
        <w:t>Bundesgericht</w:t>
      </w:r>
    </w:p>
    <w:p>
      <w:r>
        <w:t>Tribunal fédéral</w:t>
      </w:r>
    </w:p>
    <w:p>
      <w:r>
        <w:t>Tribunale federale</w:t>
      </w:r>
    </w:p>
    <w:p>
      <w:r>
        <w:t>Tribunal federal</w:t>
      </w:r>
    </w:p>
    <w:p>
      <w:r>
        <w:t>4D_14/2020</w:t>
      </w:r>
    </w:p>
    <w:p>
      <w:r>
        <w:t>Urteil vom 27. März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Beschwerdegegner.</w:t>
      </w:r>
    </w:p>
    <w:p>
      <w:r>
        <w:t>Gegenstand</w:t>
      </w:r>
    </w:p>
    <w:p>
      <w:r>
        <w:t>Kostenentscheid,</w:t>
      </w:r>
    </w:p>
    <w:p>
      <w:r>
        <w:t>Beschwerde gegen den Beschluss und das Urteil des Obergerichts des Kantons Zürich, I. Zivilkammer, vom 23. Januar 2020 (PP190040-O/U).</w:t>
      </w:r>
    </w:p>
    <w:p>
      <w:r>
        <w:t>In Erwägung,</w:t>
      </w:r>
    </w:p>
    <w:p>
      <w:r>
        <w:t>dass das Bezirksgericht Zürich mit Verfügung vom 5. August 2019 auf eine von der Beschwerdeführerin gegen den Beschwerdegegner erhobene negative Feststellungsklage nach Art. 85a SchKG nicht eintrat und die Entscheidgebühr von Fr. 600.-- der Beschwerdeführerin auferlegte;</w:t>
      </w:r>
    </w:p>
    <w:p>
      <w:r>
        <w:t>dass die Beschwerdeführerin gegen den bezirksgerichtlichen Kostenentscheid vom 5. August 2019 beim Obergericht des Kantons Zürich Berufung erhob;</w:t>
      </w:r>
    </w:p>
    <w:p>
      <w:r>
        <w:t>dass das Obergericht des Kantons Zürich mit Beschluss vom 23. Januar 2020 die Berufungsschrift der Beschwerdeführerin als Beschwerde entgegennahm und den Antrag auf Verfahrenssistierung abwies;</w:t>
      </w:r>
    </w:p>
    <w:p>
      <w:r>
        <w:t>dass das Obergericht mit Urteil vom gleichen Tag die Beschwerde abwies, soweit es darauf eintrat;</w:t>
      </w:r>
    </w:p>
    <w:p>
      <w:r>
        <w:t>dass die Beschwerdeführerin dem Bundesgericht mit Eingabe vom 6. März 2020 (Postaufgabe) erklärte, den Entscheid des Obergerichts des Kantons Zürich vom 23. Januar 2020 mit Beschwerde anfechten zu wollen;</w:t>
      </w:r>
    </w:p>
    <w:p>
      <w:r>
        <w:t>dass die Beschwerde in Zivilsachen gemäss Art. 72 ff. BGG angesichts des massgebenden Streitwerts von Fr. 600.-- nicht erhoben werden kann ( Art. 74 Abs. 1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Rechtsfrage von grundsätzlicher Bedeutung stellen könnte;</w:t>
      </w:r>
    </w:p>
    <w:p>
      <w:r>
        <w:t>dass die Eingabe der Beschwerdeführerin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hinreichend mit den Erwägungen des angefochtenen Entscheids des Obergerichts des Kantons Zürich vom 23. Januar 2020 auseinandersetzt und aufzeigt, inwiefern die Vorinstanz mit ihrem Entscheid verfassungsmässige Rechte verletzt hätte;</w:t>
      </w:r>
    </w:p>
    <w:p>
      <w:r>
        <w:t>dass die Beschwerdeführerin die ihr auferlegte Gerichtsgebühr lediglich als unverhältnismässig bezeichnet und das Willkürverbot, den Grundsatz von Treu und Glauben ( Art. 9 BV ), das Verbot des überspitzten Formalismus ( Art. 29 Abs. 1 BV ) sowie den Anspruch auf rechtliches Gehör ( Art. 29 Abs. 2 BV , Art. 6 EMRK ) erwähnt, eine Verletzung dieser Bestimmungen aber nicht hinreichend aufzeigt;</w:t>
      </w:r>
    </w:p>
    <w:p>
      <w:r>
        <w:t>dass die Eingabe der Beschwerdeführerin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 Zivilkammer, schriftlich mitgeteilt.</w:t>
      </w:r>
    </w:p>
    <w:p>
      <w:r>
        <w:t>Lausanne, 27. März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