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4D_149/2025 vom 29. Oktober 2025</w:t>
      </w:r>
    </w:p>
    <w:p>
      <w:r>
        <w:t>Bundesgericht, 2025-10-29, DE</w:t>
      </w:r>
    </w:p>
    <w:p>
      <w:r>
        <w:rPr>
          <w:b/>
        </w:rPr>
        <w:t xml:space="preserve">Quelle: </w:t>
      </w:r>
      <w:r>
        <w:t>https://mcp.opencaselaw.ch/entscheid/bger_4D_149_2025</w:t>
      </w:r>
    </w:p>
    <w:p>
      <w:r>
        <w:t>FR: TF 4D_149/2025 du 29 octobre 2025</w:t>
      </w:r>
    </w:p>
    <w:p>
      <w:r>
        <w:t>IT: TF 4D_149/2025 del 29 ottobre 2025</w:t>
      </w:r>
    </w:p>
    <w:p>
      <w:pPr>
        <w:pStyle w:val="Heading2"/>
      </w:pPr>
      <w:r>
        <w:t>Erwägungen</w:t>
      </w:r>
    </w:p>
    <w:p>
      <w:r>
        <w:rPr>
          <w:b/>
        </w:rPr>
        <w:t>E. 1</w:t>
      </w:r>
    </w:p>
    <w:p>
      <w:r>
        <w:t>Mit Entscheid vom 18. Oktober 2024 erteilte das Bezirksgericht Aarau dem Beschwerdegegner in der Betreibung Nr. 202402411 des Regionalen Betreibungsamtes Buchs gegen den Beschwerdeführer für den Betrag von Fr. 24'411.46 die definitive Rechtsöffnung. Zudem erklärte es die Beschlüsse des Bezirksgerichts Opole vom 6. April 2020 im Scheidungsverfahren und vom 8. Juli 2020 im Abänderungsverfahren für vollstreckbar.</w:t>
      </w:r>
    </w:p>
    <w:p>
      <w:r>
        <w:t>Mit Entscheid vom 3. Juli 2025 wies das Obergericht des Kantons Aargau die vom Beschwerdeführer gegen den Rechtsöffnungsentscheid des Bezirksgerichts erhobene Beschwerde ab.</w:t>
      </w:r>
    </w:p>
    <w:p>
      <w:r>
        <w:t>Mit Eingabe vom 19. August 2025 erklärte der Beschwerdeführer dem Bundesgericht, den Entscheid des Obergerichts des Kantons Aargau vom 3. Juli 2025 mit Beschwerde anfechten zu wollen.</w:t>
      </w:r>
    </w:p>
    <w:p>
      <w:r>
        <w:t>Mit Präsidialverfügung vom 22. August 2025 wies das Bundesgericht das Gesuch des Beschwerdeführers um Gewährung der aufschiebenden Wirkung ab, da es nicht hinreichend begründet worden ist.</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Der Beschwerdeführer macht nur pauschal geltend, dass sich eine Rechtsfrage von grundsätzlicher Bedeutung stellen würde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rPr>
          <w:b/>
        </w:rPr>
        <w:t>E. 2.4</w:t>
      </w:r>
    </w:p>
    <w:p>
      <w:r>
        <w:t>Abgesehen davon, dass der Beschwerdeführer in unzulässiger Weise verschiedene Verletzungen von einfachem Gesetzesrecht rügt, erfüllt seine Eingabe vom 19. August 2025 die genannten Begründungsanforderungen offensichtlich nicht. Wie bereits durch die Vorinstanz bemängelt, umfasst auch seine weitschweifige Beschwerde vor Bundesgericht grösstenteils Behauptungen und Forderungen, die notorisch aus dem Umfeld der Reichsbürger- oder ähnlicher Bewegungen stammen und die - soweit verständlich und nachvollziehbar - in keinem ersichtlichen Zusammenhang zum vorliegenden Rechtsöffnungsverfahren stehen, geschweige denn eine Verletzung verfassungsmässiger Rechte qualifiziert zu begründen vermögen. Er zeigt nicht unter Bezugnahme auf die Erwägungen des angefochtenen Entscheids auf, inwiefern die Vorinstanz mit ihrem Entscheid verfassungsmässige Rechte verletzt hätte, sondern unterbreitet dem Bundesgericht in unzulässiger Weise erneut seine eigene Sicht der Dinge. Er behauptet zwar im Zusammenhang mit dem Rechtsöffnungsverfahren eine Verletzung von Art. 29 BV und Art. 6 EMRK , zeigt jedoch nicht unter Bezugnahme auf die Erwägungen im angefochtenen Entscheid auf, inwiefern die Vorinstanz diese Rechte verletzt haben soll. Damit verfehlt er offensichtlich die gesetzlichen Begründungsanforderungen.</w:t>
      </w:r>
    </w:p>
    <w:p>
      <w:r>
        <w:t>Auf die Beschwerde ist somit mangels hinreichender Begründung nicht einzutreten ( Art. 108 Abs. 1 lit. b BGG ).</w:t>
      </w:r>
    </w:p>
    <w:p>
      <w:r>
        <w:rPr>
          <w:b/>
        </w:rPr>
        <w:t>E. 3</w:t>
      </w:r>
    </w:p>
    <w:p>
      <w:r>
        <w:t>Der Beschwerdeführer wird bei diesem Verfahrensausgang kostenpflichtig ( Art. 66 Abs. 1 BGG ). Dem Beschwerdegegner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