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4D_147/2025 vom 1. Oktober 2025</w:t>
      </w:r>
    </w:p>
    <w:p>
      <w:r>
        <w:t>Bundesgericht, 2025-10-01, DE</w:t>
      </w:r>
    </w:p>
    <w:p>
      <w:r>
        <w:rPr>
          <w:b/>
        </w:rPr>
        <w:t xml:space="preserve">Quelle: </w:t>
      </w:r>
      <w:r>
        <w:t>https://mcp.opencaselaw.ch/entscheid/bger_4D_147_2025</w:t>
      </w:r>
    </w:p>
    <w:p>
      <w:r>
        <w:t>FR: TF 4D_147/2025 du 1 octobre 2025</w:t>
      </w:r>
    </w:p>
    <w:p>
      <w:r>
        <w:t>IT: TF 4D_147/2025 del 1 ottobre 2025</w:t>
      </w:r>
    </w:p>
    <w:p>
      <w:pPr>
        <w:pStyle w:val="Heading2"/>
      </w:pPr>
      <w:r>
        <w:t>Erwägungen</w:t>
      </w:r>
    </w:p>
    <w:p>
      <w:r>
        <w:rPr>
          <w:b/>
        </w:rPr>
        <w:t>E. 1</w:t>
      </w:r>
    </w:p>
    <w:p>
      <w:r>
        <w:t>Mit Verfügung vom 7. August 2025 wies das Appellationsgericht Basel-Stadt den Antrag der Beschwerdeführerin auf Verzicht auf den Kostenvorschuss und auf Einstellung des Beschwerdeverfahrens ab. Dagegen erhebt die Beschwerdeführerin mit an das Bundesgericht adressierter Eingabe vom 19. August 2025 sinngemäss Beschwerde an das Bundesgericht. Mit Eingabe vom 5. September 2025 ersuchte die Beschwerdeführerin um Gewährung der unentgeltlichen Rechtspflege im bundesgerichtlichen Verfahren.</w:t>
      </w:r>
    </w:p>
    <w:p>
      <w:r>
        <w:rPr>
          <w:b/>
        </w:rPr>
        <w:t>E. 2</w:t>
      </w:r>
    </w:p>
    <w:p>
      <w:r>
        <w:t>Die Eingabe vom 19. August 2025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Ohnehin haben juristische Personen grundsätzlich keinen Anspruch auf unentgeltliche Rechtspflege ( BGE 131 II 306 E. 5.2.1).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Dem Gesuchsgegner ist keine Parteientschädigung zuzusprechen ( Art. 68 Abs. 3 BGG ), zumal ihm aus dem bundesgerichtlichen Verfahren mangels Einholens einer Vernehmlassung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