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4D_142/2024 vom 22. Oktober 2024</w:t>
      </w:r>
    </w:p>
    <w:p>
      <w:r>
        <w:t>Bundesgericht, 2024-10-22, FR</w:t>
      </w:r>
    </w:p>
    <w:p>
      <w:r>
        <w:rPr>
          <w:b/>
        </w:rPr>
        <w:t xml:space="preserve">Quelle: </w:t>
      </w:r>
      <w:r>
        <w:t>https://mcp.opencaselaw.ch/entscheid/bger_4D_142_2024</w:t>
      </w:r>
    </w:p>
    <w:p>
      <w:r>
        <w:t>FR: TF 4D_142/2024 du 22 octobre 2024</w:t>
      </w:r>
    </w:p>
    <w:p>
      <w:r>
        <w:t>IT: TF 4D_142/2024 del 22 ottobre 2024</w:t>
      </w:r>
    </w:p>
    <w:p>
      <w:pPr>
        <w:pStyle w:val="Heading2"/>
      </w:pPr>
      <w:r>
        <w:t>Erwägungen</w:t>
      </w:r>
    </w:p>
    <w:p>
      <w:r>
        <w:rPr>
          <w:b/>
        </w:rPr>
        <w:t>E. 1</w:t>
      </w:r>
    </w:p>
    <w:p>
      <w:r>
        <w:t>Par décision du 19 avril 2024, la Juge de paix du district de l'Ouest lausannois a prononcé la mainlevée définitive de l'opposition qu'avait formée A.________ (ci-après: la poursuivie) au commandement de payer 500 fr., intérêts en sus (complètement selon l' art. 105 al. 2 LTF ), que lui avait fait notifier la Confédération suisse, représentée par le Service des finances du Tribunal fédéral (ci-après: la poursuivante ou l'intimée) dans la poursuite n</w:t>
      </w:r>
    </w:p>
    <w:p>
      <w:r>
        <w:t>o ... de l'Office des poursuites du district de l'Ouest lausannois.</w:t>
      </w:r>
    </w:p>
    <w:p>
      <w:r>
        <w:t>Par arrêt du 29 juillet 2024, la Cour des poursuites et faillites du Tribunal cantonal du canton de Vaud a déclaré irrecevable le recours formé par la poursuivie et B.________.</w:t>
      </w:r>
    </w:p>
    <w:p>
      <w:r>
        <w:rPr>
          <w:b/>
        </w:rPr>
        <w:t>E. 2</w:t>
      </w:r>
    </w:p>
    <w:p>
      <w:r>
        <w:t>Contre cet arrêt, la poursuivie et B.________ (ci-après: les recourants) ont formé un recours dont il ressort qu'ils s'opposent à la mainlevée. Ils ont subséquemment sollicité, en substance, l'octroi de l'assistance judiciaire.</w:t>
      </w:r>
    </w:p>
    <w:p>
      <w:r>
        <w:t>À bien les comprendre, les recourants concluent au versement d'une indemnité pour tort moral. Dès lors notamment que seule la question de la mainlevée de l'opposition a fait l'objet de l'arrêt entrepris, cette conclusion est nouvelle et, partant, irrecevable ( art. 99 al. 2 LTF ).</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4.2</w:t>
      </w:r>
    </w:p>
    <w:p>
      <w:r>
        <w:t>Dès lors que B.________ n'était pas visé par la poursuite en cause et qu'il n'était pas partie à la procédure de mainlevée, la cour cantonale a considéré que B.________ n'avait pas qualité pour recourir et que le recours cantonal était irrecevable en tant qu'il émanait de lui. S'agissant du recours de A.________, la cour cantonale a notamment retenu qu'il était dépourvu de grief à l'encontre de la décision de première instance, de sorte qu'il était irrecevable faute de motivation suffisante.</w:t>
      </w:r>
    </w:p>
    <w:p>
      <w:r>
        <w:rPr>
          <w:b/>
        </w:rPr>
        <w:t>E. 4.3</w:t>
      </w:r>
    </w:p>
    <w:p>
      <w:r>
        <w:t>Les recourants n'établissent pas que B.________ aurait eu qualité pour recourir devant la cour cantonale et ne démontrent pas, références précises à l'appui, que A.________ aurait valablement remis en cause la motivation de la décision de première instance dans son recours cantonal et que la cour cantonale aurait arbitrairement appliqué l' art. 321 al. 1 CPC , de sorte que leur recours est irrecevable (cf.</w:t>
      </w:r>
    </w:p>
    <w:p>
      <w:r>
        <w:t>supra consid. 4.1.2), ce qu'il y a lieu de constater par voie de procédure simplifiée ( art. 108 al. 1 let. b et art. 117 LTF ). Les recourants ne formant pas de grief suffisamment motivé et circonstancié de violation de leurs droits constitutionnels, leur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des recourants.</w:t>
      </w:r>
    </w:p>
    <w:p>
      <w:r>
        <w:t>Les frais judiciaires seront solidairement mis à la charge des recourants, qui succombent ( art. 66 al. 1 et 5 LTF ). Dans la mesure où l'intimée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