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4D_141/2024 vom 22. Juli 2024</w:t>
      </w:r>
    </w:p>
    <w:p>
      <w:r>
        <w:t>Bundesgericht, 2024-07-22, IT</w:t>
      </w:r>
    </w:p>
    <w:p>
      <w:r>
        <w:rPr>
          <w:b/>
        </w:rPr>
        <w:t xml:space="preserve">Quelle: </w:t>
      </w:r>
      <w:r>
        <w:t>https://mcp.opencaselaw.ch/entscheid/bger_4D_141_2024</w:t>
      </w:r>
    </w:p>
    <w:p>
      <w:r>
        <w:t>FR: TF 4D_141/2024 du 22 juillet 2024</w:t>
      </w:r>
    </w:p>
    <w:p>
      <w:r>
        <w:t>IT: TF 4D_141/2024 del 22 luglio 2024</w:t>
      </w:r>
    </w:p>
    <w:p>
      <w:pPr>
        <w:pStyle w:val="Heading2"/>
      </w:pPr>
      <w:r>
        <w:t>Erwägungen</w:t>
      </w:r>
    </w:p>
    <w:p>
      <w:r>
        <w:rPr>
          <w:b/>
        </w:rPr>
        <w:t>E. 1</w:t>
      </w:r>
    </w:p>
    <w:p>
      <w:r>
        <w:t>Il Presidente del Tribunale regionale Moesa ha, con decisione 16 maggio 2024, rigettato in via provvisoria limitatamente a fr. 3'050.08 l'opposizione interposta da A.________ al precetto esecutivo fattole notificare da B.________ per l'incasso di fr. 4'050.-- a titolo di stipendio e rimborso spese di consulenza legale.</w:t>
      </w:r>
    </w:p>
    <w:p>
      <w:r>
        <w:rPr>
          <w:b/>
        </w:rPr>
        <w:t>E. 2</w:t>
      </w:r>
    </w:p>
    <w:p>
      <w:r>
        <w:t>Con sentenza del 22 luglio 2024 la Camera delle esecuzioni e dei fallimenti del Tribunale cantonale dei Grigioni ha respinto, nella misura in cui era ricevibile, il reclamo presentato da A.________. Ha indicato che il giudice di prima istanza ha rettamente considerato tardive le osservazioni presentate da A.________e statuito unicamente sulla base degli atti e delle allegazioni dell'escutente. Ha quindi ritenuto le allegazioni e le contestazioni esposte in seconda istanza dall'escussa inammissibili fatti e mezzi di prova nuovi nel senso dell' art. 326 CPC .</w:t>
      </w:r>
    </w:p>
    <w:p>
      <w:r>
        <w:rPr>
          <w:b/>
        </w:rPr>
        <w:t>E. 3</w:t>
      </w:r>
    </w:p>
    <w:p>
      <w:r>
        <w:t>Con ricorso del 3 settembre 2024A.________ chiede al Tribunale federale "un po' di giustizia".</w:t>
      </w:r>
    </w:p>
    <w:p>
      <w:r>
        <w:t>Non è stato ordinato uno scambio di scritti.</w:t>
      </w:r>
    </w:p>
    <w:p>
      <w:r>
        <w:rPr>
          <w:b/>
        </w:rPr>
        <w:t>E. 4</w:t>
      </w:r>
    </w:p>
    <w:p>
      <w:r>
        <w:t>Poiché nella fattispecie il valore di lite non raggiunge manifestamente la soglia di fr. 30'000.-- prevista dall' art. 74 cpv. 1 lett. b LTF per l'inoltro di un ricorso in materia civile, la sentenza impugnata è solo suscettiva di un ricorso sussidiario in materia costituzionale. Con tale rimedio di diritto può unicamente essere censurata la violazione di diritti costituzionali ( art. 116 LTF ). La ricorrente deve pertanto indicare i diritti costituzionali ritenuti violati e spiegare, con un'argomentazione puntuale e precisa attinente alla sentenza impugnata, in cosa consista la pretesa violazione ( art. 106 cpv. 2 LTF richiamato dall' art. 117 LTF ; DTF 136 I 65 consid. 1.3.1; 134 II 244 consid. 2.1).</w:t>
      </w:r>
    </w:p>
    <w:p>
      <w:r>
        <w:t>In concreto i predetti requisiti non sono soddisfatti, poiché invano si cerca nel ricorso una qualsiasi censura riferita alla sentenza impugnata con cui viene fatta valere la violazione di un diritto costituzionale. La ricorrente si limita infatti a descrivere il comportamento del suo ex dipendente, a lamentare la mancata considerazione di un testimone chiave e l'eccessivo peso dato al fatto che le sue osservazioni fossero tardive.</w:t>
      </w:r>
    </w:p>
    <w:p>
      <w:r>
        <w:rPr>
          <w:b/>
        </w:rPr>
        <w:t>E. 5</w:t>
      </w:r>
    </w:p>
    <w:p>
      <w:r>
        <w:t>Da quanto precede discende che il ricorso, manifestamente non motivato in modo sufficiente, si rivela inammissibile e va deciso dalla Presidente della Corte adita nella procedura semplificata (combinati art. 117 e 108 cpv. 1 lett. b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alle parti e alla Camera delle esecuzioni e dei fallimenti del Tribunale cantonale dei Grigioni.</w:t>
      </w:r>
    </w:p>
    <w:p>
      <w:r>
        <w:t>Losanna, 1° ottobre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