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4D_13/2024 vom 21. Februar 2024</w:t>
      </w:r>
    </w:p>
    <w:p>
      <w:r>
        <w:t>Bundesgericht, 2024-02-21, FR</w:t>
      </w:r>
    </w:p>
    <w:p>
      <w:r>
        <w:rPr>
          <w:b/>
        </w:rPr>
        <w:t xml:space="preserve">Quelle: </w:t>
      </w:r>
      <w:r>
        <w:t>https://mcp.opencaselaw.ch/entscheid/bger_4D_13_2024</w:t>
      </w:r>
    </w:p>
    <w:p>
      <w:r>
        <w:t>FR: TF 4D_13/2024 du 21 février 2024</w:t>
      </w:r>
    </w:p>
    <w:p>
      <w:r>
        <w:t>IT: TF 4D_13/2024 del 21 febbraio 2024</w:t>
      </w:r>
    </w:p>
    <w:p>
      <w:pPr>
        <w:pStyle w:val="Heading2"/>
      </w:pPr>
      <w:r>
        <w:t>Erwägungen</w:t>
      </w:r>
    </w:p>
    <w:p>
      <w:r>
        <w:rPr>
          <w:b/>
        </w:rPr>
        <w:t>E. 1</w:t>
      </w:r>
    </w:p>
    <w:p>
      <w:r>
        <w:t>Par décision du 15 juin 2023, la Juge de paix du district de la Broye-Vully a prononcé la mainlevée définitive, à concurrence de 18'961 fr. 50, de l'opposition qu'avait formée A.________ (ci-après: la poursuivie ou la recourante) au commandement de payer que lui avait fait notifier l'État de Vaud (ci-après: l'intimé) dans la poursuite no....</w:t>
      </w:r>
    </w:p>
    <w:p>
      <w:r>
        <w:t>Par arrêt du 6 décembre 2023, la Cour des poursuites et faillites du Tribunal cantonal du canton de Vaud a rejeté le recours formé par la poursuivie à l'encontre de ladite décision.</w:t>
      </w:r>
    </w:p>
    <w:p>
      <w:r>
        <w:rPr>
          <w:b/>
        </w:rPr>
        <w:t>E. 2</w:t>
      </w:r>
    </w:p>
    <w:p>
      <w:r>
        <w:t>Le 22 janvier 2024, la poursuivie a formé un " recours en matière civile " contre cet arrêt auprès du Tribunal fédéral. Par courrier daté du 27 janvier 2024, elle a produit de nouvelles preuves.</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La recourante n'invoque pas, de manière suffisamment claire et circonstanciée, de violation de ses droits constitutionnels, de sorte que son recours est irrecevable, faute de motivation suffisante (cf.</w:t>
      </w:r>
    </w:p>
    <w:p>
      <w:r>
        <w:t>supra consid. 4.1), ce qu'il y a lieu de constater par voie de procédure simplifiée ( art. 108 al. 1 let. b et art. 117 LTF ).</w:t>
      </w:r>
    </w:p>
    <w:p>
      <w:r>
        <w:rPr>
          <w:b/>
        </w:rPr>
        <w:t>E. 5</w:t>
      </w:r>
    </w:p>
    <w:p>
      <w:r>
        <w:t>Les frais judiciaires seront mis à la charge de la recourante, qui succombe ( art. 66 al. 1 LTF ). Dans la mesure où l'intimé n'a pas été invité à se déterminer et où il a obtenu gain de cause dans l'exercice de ses attributions officielles ( art. 68 al. 3 LTF ),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