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13/2011 vom 14. April 2011</w:t>
      </w:r>
    </w:p>
    <w:p>
      <w:r>
        <w:t>Bundesgericht, 2011-04-14, FR</w:t>
      </w:r>
    </w:p>
    <w:p>
      <w:r>
        <w:rPr>
          <w:b/>
        </w:rPr>
        <w:t xml:space="preserve">Quelle: </w:t>
      </w:r>
      <w:r>
        <w:t>https://mcp.opencaselaw.ch/entscheid/bger_4D_13_2011</w:t>
      </w:r>
    </w:p>
    <w:p>
      <w:r>
        <w:t>FR: TF 4D 13/2011 du 14 avril 2011</w:t>
      </w:r>
    </w:p>
    <w:p>
      <w:r>
        <w:t>IT: TF 4D 13/2011 del 14 aprile 2011</w:t>
      </w:r>
    </w:p>
    <w:p>
      <w:pPr>
        <w:pStyle w:val="Heading2"/>
      </w:pPr>
      <w:r>
        <w:t>Regeste</w:t>
      </w:r>
    </w:p>
    <w:p>
      <w:r>
        <w:t>contrat de travail | Droit des contrats</w:t>
      </w:r>
    </w:p>
    <w:p>
      <w:pPr>
        <w:pStyle w:val="Heading2"/>
      </w:pPr>
      <w:r>
        <w:t>Erwägungen</w:t>
      </w:r>
    </w:p>
    <w:p>
      <w:r>
        <w:rPr>
          <w:b/>
        </w:rPr>
        <w:t>E. 1.1</w:t>
      </w:r>
    </w:p>
    <w:p>
      <w:r>
        <w:t>Devant l'autorité précédente, le litige portait sur une somme de 12'058 fr. 90 (montant réclamé par l'employeuse), entièrement contestée. La valeur litigieuse minimale requise par l' art. 74 al. 1 let. a LTF n'étant pas atteinte, le recours en matière civile n'était pas ouvert, étant précisé que l'on ne se trouve dans aucun des cas prévus par l' art. 74 al. 2 LTF . C'est donc à juste titre que la recourante a interjeté un recours constitutionnel subsidiaire, puisque le recours ordinaire ne lui était pas ouvert ( art. 113 LTF ).</w:t>
      </w:r>
    </w:p>
    <w:p>
      <w:r>
        <w:rPr>
          <w:b/>
        </w:rPr>
        <w:t>E. 1.2</w:t>
      </w:r>
    </w:p>
    <w:p>
      <w:r>
        <w:t>Interjeté par la partie qui a succombé dans ses conclusions libératoires et qui a un intérêt juridique à l'annulation ou à la modification de la décision ( art. 115 LTF ), le recours déposé dans le délai ( art. 117 et 100 al. 1 LTF ) et la forme ( art. 42 LTF ) prévus par la loi, est en principe recevable, puisqu'il est dirigé contre un arrêt final ( art. 117 et 90 LTF ) rendu par une autorité cantonale de dernière instance ( art. 113 LTF ).</w:t>
      </w:r>
    </w:p>
    <w:p>
      <w:r>
        <w:rPr>
          <w:b/>
        </w:rPr>
        <w:t>E. 1.3</w:t>
      </w:r>
    </w:p>
    <w:p>
      <w:r>
        <w:t>Le recours subsidiaire ne peut être interjeté que pour violation des droits constitutionnels ( art. 116 LTF ). Lorsque de tels griefs sont soulevés, l' art. 106 al. 2 LTF (par renvoi de l' art. 117 LTF ) prévoit pour la motivation du recours des exigences qualifiées ( ATF 134 I 83 consid. 3.2 p. 88 et les arrêts cités). Le recourant doit ainsi indiquer quel droit constitutionnel aurait été violé et démontrer, par une argumentation circonstanciée, en quoi consiste cette violation (133 III 439 consid. 3.2 p. 444). Ainsi, s'il entend se prévaloir d'une application arbitraire ( art. 9 Cst. ) du droit fédéral, il doit désigner avec précision quelle est la norme fédérale dont il se prévaut.</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Aucun fait nouveau ou preuve nouvelle ne peut être présenté à moins de résulter de la décision attaquée ( art. 117 et 99 al. 1 LTF ).</w:t>
      </w:r>
    </w:p>
    <w:p>
      <w:r>
        <w:rPr>
          <w:b/>
        </w:rPr>
        <w:t>E. 1.5</w:t>
      </w:r>
    </w:p>
    <w:p>
      <w:r>
        <w:t>Le Tribunal fédéral ne peut aller au-delà des conclusions des parties ( art. 117 et 107 al. 1 LTF ). Toute conclusion nouvelle est irrecevable ( art. 117 et 99 al. 2 LTF ).</w:t>
      </w:r>
    </w:p>
    <w:p>
      <w:r>
        <w:rPr>
          <w:b/>
        </w:rPr>
        <w:t>E. 2</w:t>
      </w:r>
    </w:p>
    <w:p>
      <w:r>
        <w:t>La recourante ne remet en cause l'arrêt cantonal que dans la mesure où il l'astreint à devoir rembourser le salaire équivalant aux périodes d'absence pour cause de formation (soit le montant de 4'881 fr. 75).</w:t>
      </w:r>
    </w:p>
    <w:p>
      <w:r>
        <w:rPr>
          <w:b/>
        </w:rPr>
        <w:t>E. 2.1</w:t>
      </w:r>
    </w:p>
    <w:p>
      <w:r>
        <w:t>Elle invoque une violation de l'interdiction de l'arbitraire ( art. 9 Cst. ) dans l'application du droit fédéral; dans un premier temps, elle mentionne les art. 319 ss CO et ne désigne ainsi pas précisément la norme de droit du travail qui aurait été appliquée de façon insoutenable. Ensuite, bien que rappelant la définition de l'arbitraire, elle ne développe, en définitive, pas sa motivation sous cet angle; elle cite certes les art. 319 al. 1 et 320 al. 3 CO, mais explique simplement qu'il "paraît contraire au principe fondamental du droit suisse du travail (...) d'astreindre un collaborateur à devoir rembourser a posteriori la rémunération perçue pendant une période de formation professionnelle". La recevabilité du moyen est donc douteuse. La question peut toutefois rester ouverte, le grief étant quoiqu'il en soit mal fondé (cf. infra consid. 2.2 à 2.4).</w:t>
      </w:r>
    </w:p>
    <w:p>
      <w:r>
        <w:rPr>
          <w:b/>
        </w:rPr>
        <w:t>E. 2.2</w:t>
      </w:r>
    </w:p>
    <w:p>
      <w:r>
        <w:t>Toute l'argumentation de la recourante consiste à dire qu'en suivant ses cours professionnels, elle a agi en exécution de son travail et que le remboursement sollicité par l'intimée reviendrait à la priver d'un salaire correspondant à une activité déployée conformément à son contrat de travail.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rPr>
          <w:b/>
        </w:rPr>
        <w:t>E. 2.3</w:t>
      </w:r>
    </w:p>
    <w:p>
      <w:r>
        <w:t>Selon l'art. 13 al. 4 de l'Ordonnance 1 du 10 mai 2000 relative à la loi sur le travail (OLT 1; RS 822.111), le temps qu'un travailleur consacre à une formation complémentaire ou continue, soit sur ordre de l'employeur, soit, en vertu de la loi, parce que son activité professionnelle l'exige, est réputée temps de travail. Ainsi, si la formation est imposée par l'exécution du travail, le salaire est dû au travailleur pour toute la durée consacrée à la formation (PHILIPPE CARRUZZO, La rémunération du travailleur et le remboursement des frais, 2007, p. 245; STREIFF/VON KAENEL, Arbeitsvertrag, Praxiskommentar, 6e éd. 2006, no 7 ad art. 327a CO ). Tel n'est par contre pas le cas lorsque la formation n'est pas imposée par l'exécution du travail, mais destinée à améliorer la capacité professionnelle du travailleur. Une telle formation n'est pas liée à un employeur déterminé ou à un produit spécifique (cf. arrêt 4C.326/2005 du 21 octobre 2005 consid. 4) et elle se distingue du travail qui est exécuté directement dans l'intérêt de l'employeur et qui constitue la contrepartie du salaire (cf. arrêt 4P.264/2001 du 10 janvier 2002 consid. 2c/aa; CARRUZZO, op. cit., p. 246 ss). L'employeur et le travailleur peuvent alors convenir, pour les jours consacrés à la formation de l'employé, de l'octroi d'un congé non payé, ou se mettre d'accord sur le maintien du salaire en contrepartie de l'accomplissement d'un travail compensatoire, ou même convenir que les heures de cours seront assimilées, en totalité ou en partie, à du temps de travail (cf. CARRUZZO, op. cit., p. 247 s.). Dans ce dernier cas de figure, l'employeur a la liberté de lier sa contribution à un engagement de remboursement dégressif du salaire payé pendant les heures de formation si le travailleur quitte l'entreprise avant l'échéance de la période convenue (cf. CARRUZZO, op. cit., p. 246 et 248; sur l'admissibilité du remboursement des frais de formation: RÉMY WYLER, Droit du travail, 2e éd. 2008, p. 289 s.). La constatation de la nature de la formation, ainsi que des frais y relatifs, relève du fait et lie, par conséquent, la juridiction fédérale (cf. arrêt 4C.326/2005 déjà cité consid. 4).</w:t>
      </w:r>
    </w:p>
    <w:p>
      <w:r>
        <w:rPr>
          <w:b/>
        </w:rPr>
        <w:t>E. 2.4</w:t>
      </w:r>
    </w:p>
    <w:p>
      <w:r>
        <w:t>En l'espèce, la Chambre des recours, reprenant la constatation des premiers juges, a retenu que la recourante avait suivi une formation non indispensable à l'exécution de son travail, mais qui lui conférait, par l'acquisition de nouvelles connaissances, un avantage durable sur le marché du travail. Il est ainsi indéniable que la formation n'était pas liée à un employeur déterminé ou à un produit spécifique et que les parties pouvaient, dans un accord, assimiler les heures de cours à du temps de travail et convenir des modalités de remboursement du salaire prévues dans l'avenant des 27 et 28 mars 2007; on ne voit pas en quoi les art 319 ss CO , plus particulièrement les art. 319 al. 1 et 320 al. 3 CO, aurait été appliqués arbitrairement par la cour cantonale. Enfin, la recourante soutient que la juridiction précédente "confesse son malaise" en n'allouant que le remboursement du salaire net et non celui des cotisations sociales. Elle ne précise toutefois pas en quoi cet argument plaiderait en faveur de l'application arbitraire d'une norme - d'ailleurs non spécifiquement désignée dans l'acte de recours - du droit fédéral. L'argument est au demeurant dénué de pertinence puisque l'intimée a pu procéder de la sorte en faveur de l'employé, pour lui éviter des lacunes de cotisation aux assurances sociales (AVS et prévoyance professionnelle) (cf. CARRUZZO, op. cit., p. 248). Le seul fait que la cour précédente a confirmé le bien-fondé du remboursement du salaire net ne permet donc pas de qualifier d'insoutenable la décision attaquée.</w:t>
      </w:r>
    </w:p>
    <w:p>
      <w:r>
        <w:rPr>
          <w:b/>
        </w:rPr>
        <w:t>E. 2.5</w:t>
      </w:r>
    </w:p>
    <w:p>
      <w:r>
        <w:t>La recourante revient à la charge en soutenant qu'il est arbitraire d'affirmer, sans aucune motivation ou démonstration, que la clause contractuelle prévue dans l'avenant des 27 et 28 mars 2007 remplissait les exigences de validité posées par la doctrine et la jurisprudence en application des art. 327a et 335a CO . Si tant est que la recourante entendait par là faire grief à la cour cantonale d'avoir violé son droit d'être entendue (droit à une décision motivée), le moyen serait irrecevable, puisqu'il n'a pas été invoqué clairement ni motivé suffisamment dans l'acte de recours (cf. infra consid. 1.3). Quant au reproche tiré de l'arbitraire, on peine à comprendre en rapport avec quelle critique (manque de prévisibilité de la clause contractuelle, application erronée de la jurisprudence ou violation du droit fédéral), il est émis et sa recevabilité est, déjà pour cette raison, fort douteuse. Quoiqu'il en soit, toute critique émise en application de l' art. 327a CO est d'emblée mal fondée, les frais destinés à améliorer la capacité professionnelle du travailleur ne tombant pas sous le coup de cette disposition (cf. infra consid. 2.4). S'agissant de l' art. 335a CO , le moyen est irrecevable, la recourante se limitant à citer la disposition légale, sans toutefois fournir le début d'une motivation permettant de comprendre en quoi elle aurait été violée arbitrairement ( art. 9 Cst. ). On notera enfin qu'après avoir indiqué que "les juges cantonaux ont rappelé (...) les trois conditions cumulatives exigées pour l'admission d'une clause de remboursement de frais, soit notamment que les montants à rembourser doivent être clairement spécifiés", la recourante se borne à reprocher à la juridiction précédente de n'avoir pas démontré que l'avenant de 2007 satisfait à cette exigence; elle ne fait référence à aucune décision de la Cour de céans ni à une publication de la doctrine. Si la recourante entendait reprocher à la cour cantonale d'avoir appliqué arbitrairement la jurisprudence du Tribunal fédéral (soit celle ayant trait à la prise en charge des frais de formation destinés à améliorer la capacité professionnelle du travailleur), il lui appartenait au moins de désigner les décisions qui auraient été appliquées de façon insoutenable par l'autorité précédente (cf. supra consid. 1.3). La critique est irrecevable.</w:t>
      </w:r>
    </w:p>
    <w:p>
      <w:r>
        <w:rPr>
          <w:b/>
        </w:rPr>
        <w:t>E. 3</w:t>
      </w:r>
    </w:p>
    <w:p>
      <w:r>
        <w:t>Le recours constitutionnel subsidiaire doit être rejeté dans la mesure de sa recevabilité.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