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13/2008 vom 2. April 2008</w:t>
      </w:r>
    </w:p>
    <w:p>
      <w:r>
        <w:t>Bundesgericht, 2008-04-02, FR</w:t>
      </w:r>
    </w:p>
    <w:p>
      <w:r>
        <w:rPr>
          <w:b/>
        </w:rPr>
        <w:t xml:space="preserve">Quelle: </w:t>
      </w:r>
      <w:r>
        <w:t>https://mcp.opencaselaw.ch/entscheid/bger_4D_13_2008</w:t>
      </w:r>
    </w:p>
    <w:p>
      <w:r>
        <w:t>FR: TF 4D 13/2008 du 2 avril 2008</w:t>
      </w:r>
    </w:p>
    <w:p>
      <w:r>
        <w:t>IT: TF 4D 13/2008 del 2 aprile 2008</w:t>
      </w:r>
    </w:p>
    <w:p>
      <w:pPr>
        <w:pStyle w:val="Heading2"/>
      </w:pPr>
      <w:r>
        <w:t>Regeste</w:t>
      </w:r>
    </w:p>
    <w:p>
      <w:r>
        <w:t>assistance judiciaire | Procédure civile</w:t>
      </w:r>
    </w:p>
    <w:p>
      <w:pPr>
        <w:pStyle w:val="Heading2"/>
      </w:pPr>
      <w:r>
        <w:t>Erwägungen</w:t>
      </w:r>
    </w:p>
    <w:p>
      <w:r>
        <w:rPr>
          <w:b/>
        </w:rPr>
        <w:t>E. 1</w:t>
      </w:r>
    </w:p>
    <w:p>
      <w:r>
        <w:t>Le Tribunal fédéral examine d'office et librement la recevabilité des recours qui lui sont soumis ( ATF 133 III 462 consid. 2).</w:t>
      </w:r>
    </w:p>
    <w:p>
      <w:r>
        <w:rPr>
          <w:b/>
        </w:rPr>
        <w:t>E. 1.1</w:t>
      </w:r>
    </w:p>
    <w:p>
      <w:r>
        <w:t>Selon la jurisprudence, le refus de l'assistance judiciaire est une décision incidente, susceptible de causer un préjudice irréparable ( art. 93 al. 1 let. a LTF ; ATF 129 I 129 consid. 1.1, 281 consid. 1.1 p. 283 s., rendus sous l'ancien droit mais gardant toute leur pertinence sous l'empire de la LTF; cf. ATF 133 IV 139 consid. 4 p. 141, 288 consid. 3.1 p. 291). La question se pose de savoir si ce principe s'applique également en l'espèce, dès lors que le Tribunal de première instance n'a pas à proprement parler refusé l'assistance juridique au recourant, mais a déclaré sa requête irrecevable, faute pour lui d'avoir fourni dans les délais des renseignements ou des pièces qui lui étaient réclamés, au sens de l'art. 9 al. 3 RAJ/GE. Si le résultat est le même qu'en cas de refus, dès lors que le requérant n'obtient pas le bénéfice de l'assistance juridique, il n'en demeure pas moins qu'en pareille hypothèse, il est loisible au requérant de déposer une nouvelle requête en bonne et due forme, circonstance qui pourrait plaider contre l'existence d'un risque de préjudice irréparable. D'un autre côté, dès lors que la décision sur l'assistance juridique ne déploie en principe ses effets qu'avec effet rétroactif au jour du dépôt de la requête, le dommage pourrait découler de ce que les opérations effectuées entre le dépôt de la première requête, déclarée irrecevable, et la seconde, par hypothèse régulière et admise, ne seraient pas couvertes par le bénéfice de l'assistance juridique. En définitive, la question peut demeurer indécise, dès lors que le recours apparaît irrecevable pour un autre motif (cf. consid. 2).</w:t>
      </w:r>
    </w:p>
    <w:p>
      <w:r>
        <w:rPr>
          <w:b/>
        </w:rPr>
        <w:t>E. 1.2</w:t>
      </w:r>
    </w:p>
    <w:p>
      <w:r>
        <w:t>La décision entreprise a été rendue en matière civile ( art. 72 al. 1 LTF ), par une autorité cantonale de dernière instance ( art. 75 al. 1 LTF ), dans le cadre d'une affaire pécuniaire dont la valeur litigieuse atteint le seuil de 30'000 fr. ( art. 74 al. 1 let. b LTF ), de sorte que le recours en matière civile est ouvert.</w:t>
      </w:r>
    </w:p>
    <w:p>
      <w:r>
        <w:rPr>
          <w:b/>
        </w:rPr>
        <w:t>E. 1.3</w:t>
      </w:r>
    </w:p>
    <w:p>
      <w:r>
        <w:t>La voie du recours en matière civile étant ouverte, le recours constitutionnel subsidiaire est irrecevable ( art. 113 LTF ). Le recourant a exercé un « recours constitutionnel subsidiaire », voie de droit d'ailleurs désignée par la cour cantonale au bas du dispositif de sa décision comme étant celle à suivre. Quoi qu'il en soit, l'intitulé erroné du recours ne nuit pas à son auteur, pour autant que les conditions de recevabilité du recours qui aurait dû être interjeté soient réunies (cf. ATF 131 I 291 consid. 1.3; 126 II 506 consid. 1b p. 509). En l'espèce, le recourant, qui soulève exclusivement des griefs de rang constitutionnel, a manifestement confondu le recours constitutionnel subsidiaire prévu par la LTF avec l'ancien recours de droit public relevant de l'aOJ. C'est le lieu de préciser que le nouveau droit de procédure permet de se plaindre, dans le recours (ordinaire) en matière civile, d'une violation du droit fédéral ( art. 95 let. a LTF ), y compris le droit constitutionnel ( ATF 133 III 446 consid. 3.1 p. 447, 462 consid. 2.3 p. 466). La conversion du recours est possible en l'occurrence. Rien ne s'oppose dès lors à traiter l'acte déposé par le recourant comme un recours en matière civile. Il n'y a en revanche pas lieu de fixer au recourant un délai pour déposer un mémoire complémentaire. En effet, il n'est de toute façon pas lésé, dès lors qu'il ne peut dans tous les cas soulever que des griefs d'ordre constitutionnel.</w:t>
      </w:r>
    </w:p>
    <w:p>
      <w:r>
        <w:rPr>
          <w:b/>
        </w:rPr>
        <w:t>E. 2</w:t>
      </w:r>
    </w:p>
    <w:p>
      <w:r>
        <w:t>La loi qui régit l'assistance judiciaire règle également la possibilité de recourir contre la décision rendue sur la requête. Elle détermine si un recours est ouvert, quelle est l'autorité compétente et quelles sont les conditions du recours et la procédure à suivre (Corboz, Le droit constitutionnel à l'assistance judiciaire, SJ 2003 p. 67 ss, spéc. p. 86). Le Tribunal fédéral ne revoit l'application du droit cantonal que sous l'angle de la violation de l'interdiction constitutionnelle de l'arbitraire (cf. art. 95 LTF ; ATF 133 III 462 consid. 2.3). Ce grief peut être examiné uniquement s'il a été invoqué et motivé ( art. 106 al. 2 LTF ). Les exigences en matière de motivation correspondent à celles qui étaient prévues à l'art. 90 al. 1 let. b aOJ pour l'ancien recours de droit public. L'acte de recours doit donc contenir, sous peine d'irrecevabilité, un exposé succinct des droits constitutionnels violés, précisant de manière circonstanciée en quoi consiste la violation (cf. ATF 133 III 393 consid. 6, IV 286 consid. 1.4 p. 287 s.). En l'occurrence, la cour cantonale a déclaré le recours irrecevable au motif qu'aux termes de l'art. 143A al. 3 LOJ/GE, ce n'était qu'en cas de refus ou de retrait de l'assistance juridique que le requérant pouvait déposer un recours, ce dont il résultait qu'un tel recours n'était pas ouvert contre une décision d'irrecevabilité fondée sur l'art. 9 RAJ/GE, dans les cas où le requérant ne respectait pas les obligations qui lui incombaient en application de cette disposition. Le recourant ne se détermine pas à proprement parler sur cette motivation. En effet, il se limite en substance à affirmer qu'« il est en particulier choquant de constater l'absence crasse de réelle motivation relative à l'irrecevabilité - point 1.1.1 de la Décision querellée - puisque le recourant est éconduit de son action en quelques lignes à peine nonobstant l'importance des intérêts financiers en jeu ! » et que « la seule motivation offerte en guise de pitance est la jurisprudence de la Cour - non précisée, preuve supplémentaire d'arbitraire ! - tout en rappelant que le requérant doit fournir les éléments et pièces nécessaires à l'appréciation des mérites de sa cause et de sa situation financière et personnelle - point 1.1.1 de la Décision querellée. Or le recourant a produit absolument tout ce qu'on a demandé de lui (...) ». Force est ainsi de constater que le recourant ne démontre pas d'une manière conforme aux exigences de motivation applicables en la matière en quoi la cour cantonale aurait commis arbitraire en procédant à une interprétation a contrario de l'art. 143A al. 3 LOJ/GE. Quoi qu'il en soit, il n'apparaît pas insoutenable de ne pas assimiler l'irrecevabilité d'une requête d'assistance juridique pour non-respect de l'obligation de fournir certains renseignements à un refus pur et simple de l'assistance juridique. En effet, dans la première hypothèse, le requérant garde la possibilité de déposer une nouvelle requête conforme aux réquisits légaux. Il convient encore de relever que l'interprétation faite par les précédents juges se déduit de la lecture de la loi, de sorte qu'il est sans importance que ceux-ci n'aient pas expressément cité la jurisprudence cantonale sur laquelle ils se fondaient à cet égard. Il résulte des considérations qui précèdent que le recours est irrecevable.</w:t>
      </w:r>
    </w:p>
    <w:p>
      <w:r>
        <w:rPr>
          <w:b/>
        </w:rPr>
        <w:t>E. 3</w:t>
      </w:r>
    </w:p>
    <w:p>
      <w:r>
        <w:t>Il convient encore de relever que dans sa décision, la cour cantonale a constaté par surabondance que même si le recours avait été recevable, il aurait été rejeté, le recourant n'ayant pas prouvé son indigence et ses démarches étant dénuées de chances de succès. Au terme de quatre pages de développements sur ces deux sujets, elle est parvenue à la conclusion que le recours devait être déclaré irrecevable, étant subsidiairement infondé. Dans le dispositif de sa décision, elle n'a toutefois retenu que l'irrecevabilité. Cela étant, la motivation de la cour cantonale conduisant à l'irrecevabilité du recours résistant à l'examen, il n'y a pas lieu de se pencher sur l'argumentation du recourant - qui invoque l' art. 9 Cst. (protection contre l'arbitraire), le formalisme excessif et l' art. 29 al. 3 Cst. (droit à l'assistance judiciaire gratuite) - ayant trait aux motifs de rejet évoqués par la cour cantonale.</w:t>
      </w:r>
    </w:p>
    <w:p>
      <w:r>
        <w:rPr>
          <w:b/>
        </w:rPr>
        <w:t>E. 4</w:t>
      </w:r>
    </w:p>
    <w:p>
      <w:r>
        <w:t>Compte tenu de l'issue du litige, les frais judiciaires sont mis à la charge du recourant, qui succombe ( art. 66 al. 1 LTF ). Il n'est en revanche pas alloué de dépens, la partie intimée étant une autorité ( art. 68 al. 3 LTF ) qui n'a de surcroît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