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4D_139/2024 vom 22. Oktober 2024</w:t>
      </w:r>
    </w:p>
    <w:p>
      <w:r>
        <w:t>Bundesgericht, 2024-10-22, FR</w:t>
      </w:r>
    </w:p>
    <w:p>
      <w:r>
        <w:rPr>
          <w:b/>
        </w:rPr>
        <w:t xml:space="preserve">Quelle: </w:t>
      </w:r>
      <w:r>
        <w:t>https://mcp.opencaselaw.ch/entscheid/bger_4D_139_2024</w:t>
      </w:r>
    </w:p>
    <w:p>
      <w:r>
        <w:t>FR: TF 4D_139/2024 du 22 octobre 2024</w:t>
      </w:r>
    </w:p>
    <w:p>
      <w:r>
        <w:t>IT: TF 4D_139/2024 del 22 ottobre 2024</w:t>
      </w:r>
    </w:p>
    <w:p>
      <w:pPr>
        <w:pStyle w:val="Heading2"/>
      </w:pPr>
      <w:r>
        <w:t>Erwägungen</w:t>
      </w:r>
    </w:p>
    <w:p>
      <w:r>
        <w:rPr>
          <w:b/>
        </w:rPr>
        <w:t>E. 1</w:t>
      </w:r>
    </w:p>
    <w:p>
      <w:r>
        <w:t>Par décision du 7 mars 2024, la Juge de paix du district de l'Ouest lausannois a prononcé la mainlevée définitive de l'opposition qu'avait formée A.________ (ci-après: le poursuivi ou le recourant) au commandement de payer que lui avait fait notifier l'État de Vaud, représenté par la Direction générale des affaires institutionnelles et des communes (DGAIC), note de frais pénaux (ci-après: le poursuivant ou l'intimé) dans la poursuite n</w:t>
      </w:r>
    </w:p>
    <w:p>
      <w:r>
        <w:t>o ... de l'Office des poursuites de l'Ouest lausannois.</w:t>
      </w:r>
    </w:p>
    <w:p>
      <w:r>
        <w:t>Par prononcé du 16 juillet 2024, le Président de la Cour des poursuites et faillites du Tribunal cantonal du canton de Vaud a déclaré irrecevable le recours formé par le poursuivi à l'encontre de ladite décision, au motif que celui-ci n'avait pas versé l'avance de frais requise dans le délai imparti.</w:t>
      </w:r>
    </w:p>
    <w:p>
      <w:r>
        <w:rPr>
          <w:b/>
        </w:rPr>
        <w:t>E. 2</w:t>
      </w:r>
    </w:p>
    <w:p>
      <w:r>
        <w:t>Contre ce prononcé, le poursuivi a formé auprès du Tribunal fédéral un recours dont il ressort qu'il s'oppose à la mainlevée. Il a subséquemment sollicité, en substance, l'octroi de l'assistance judiciaire.</w:t>
      </w:r>
    </w:p>
    <w:p>
      <w:r>
        <w:t>Le recourant conclut également, en substance, à l'octroi d'une indemnité de 30'000 fr. et à l'ouverture d'une enquête. Dans la mesure notamment où seule la question de la mainlevée de l'opposition a fait l'objet de la procédure cantonale, ces conclusions sont nouvelles et, partant, irrecevables ( art. 99 al. 2 LTF ).</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le prononcé indique que la valeur litigieuse s'élève à 440 fr. et où le recourant ne conteste pas cette indication,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Le recourant ne prétend ni n'établit qu'il aurait versé l'avance de frais dans le délai que lui avait imparti la cour cantonale ou qu'il en aurait été dispensé en étant mis au bénéfice de l'assistance judiciaire. Dans la mesure où il ne s'en prend pas à la motivation de la cour cantonale, son recours est irrecevable (cf.</w:t>
      </w:r>
    </w:p>
    <w:p>
      <w:r>
        <w:t>supra consid. 4.1),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