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4D_137/2024 vom 5. Februar 2025</w:t>
      </w:r>
    </w:p>
    <w:p>
      <w:r>
        <w:t>Bundesgericht, 2025-02-05, DE</w:t>
      </w:r>
    </w:p>
    <w:p>
      <w:r>
        <w:rPr>
          <w:b/>
        </w:rPr>
        <w:t xml:space="preserve">Quelle: </w:t>
      </w:r>
      <w:r>
        <w:t>https://mcp.opencaselaw.ch/entscheid/bger_4D_137_2024</w:t>
      </w:r>
    </w:p>
    <w:p>
      <w:r>
        <w:t>FR: TF 4D_137/2024 du 5 février 2025</w:t>
      </w:r>
    </w:p>
    <w:p>
      <w:r>
        <w:t>IT: TF 4D_137/2024 del 5 febbraio 2025</w:t>
      </w:r>
    </w:p>
    <w:p>
      <w:pPr>
        <w:pStyle w:val="Heading2"/>
      </w:pPr>
      <w:r>
        <w:t>Erwägungen</w:t>
      </w:r>
    </w:p>
    <w:p>
      <w:r>
        <w:rPr>
          <w:b/>
        </w:rPr>
        <w:t>E. 1</w:t>
      </w:r>
    </w:p>
    <w:p>
      <w:r>
        <w:t>Das Bezirksgerichts Zürich hiess mit Urteil vom 17. April 2024 im Wesentlichen die von der Beschwerdeführerin eingereichte Klage gemäss Art. 85a SchKG auf Feststellung des Nichtbestehens einer in Betreibung gesetzten Forderung von insgesamt Fr. 15'153.50 (nebst Zins und Kosten) im Umfang von Fr. 2'110.-- gut. Im Übrigen wies es die Klage ab und erteilte dem Beschwerdegegner in der Betreibung Nr. xxx des Betreibungsamts U.________ (Zahlungsbefehl vom 16. November 2023) die definitive Rechtsöffnung für Fr. 13'043.50. Dagegen erhob die Beschwerdeführerin Berufung an das Obergericht des Kantons Zürich. Das Obergericht erwog mit Beschluss vom 18. Juni 2024, die Berufung der Beschwerdeführerin sei offensichtlich querulatorisch bzw. rechtsmissbräuchlich, weshalb das Berufungsverfahren abzuschreiben sei. Gegen diesen Beschluss erhebt die Beschwerdeführerin mit Eingabe vom 28. August 2024 Beschwerde an das Bundesgericht. Mit Verfügung vom 3. September 2024 wurde das Gesuch um Erteilung der aufschiebenden Wirkung abgewiesen, da es nicht rechtsgenüglich begründet worden ist. Am 18. September 2024 reichte die Beschwerdeführerin eine weitere Eingabe ein.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13'043.50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Die Beschwerdeführerin behauptet nicht, dass sich eine Rechtsfrage von grundsätzlicher Bedeutung stellt, zumindest offensichtlich nicht hinreichend.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4.1</w:t>
      </w:r>
    </w:p>
    <w:p>
      <w:r>
        <w:t>Auf die Rüge der Verletzung einfachen Bundesrechts, insbesondere von Art. 57 ZPO und Art. 132 ZPO , kann von vornherein nicht eingetreten werden, da es sich hierbei nicht um die Verletzung verfassungsmässiger Rechte handelt (Erwägung 3.1).</w:t>
      </w:r>
    </w:p>
    <w:p>
      <w:r>
        <w:rPr>
          <w:b/>
        </w:rPr>
        <w:t>E. 4.2</w:t>
      </w:r>
    </w:p>
    <w:p>
      <w:r>
        <w:t>Die Beschwerdeführerin verlangt den Ausstand von erst- und den zweitinstanzlichen Gerichtspersonen. Sie begründet diesen Vorwurf jedoch offensichtlich nicht hinreichend, indem sie pauschal fordert, dass diese Personen durch unparteiische und nicht voreingenommene Richter und Gerichtsschreiber zu ersetzen seien, die nicht für den Kanton Zürich arbeiten würden.</w:t>
      </w:r>
    </w:p>
    <w:p>
      <w:r>
        <w:rPr>
          <w:b/>
        </w:rPr>
        <w:t>E. 4.3</w:t>
      </w:r>
    </w:p>
    <w:p>
      <w:r>
        <w:t>Auch im Übrigen erfüllen die Eingaben der Beschwerdeführerin die oben genannten Begründungsanforderungen offensichtlich nicht. Sie macht ausführliche theoretische Ausführungen zu verschiedensten Themen, rügt die Verletzung diverser Verfassungsnormen und verschiedener EMRK-Bestimmungen, stellt eine Vielzahl von Rechtsbegehren und verlangt darin unter anderem auch mehrfach, dass Gerichtsentscheide für nichtig zu erklären seien. Sie geht in ihren Eingaben indessen nicht hinreichend konkret auf die Erwägungen der Vorinstanz ein, geschweige denn zeigt sie nachvollziehbar auf, welche verfassungsmässigen Rechte die Vorinstanz mit ihrem Entscheid inwiefern verletzt haben soll, als diese ihre Berufungsschrift als offensichtlich querulatorisch bzw. rechtsmissbräuchlich qualifizierte.</w:t>
      </w:r>
    </w:p>
    <w:p>
      <w:r>
        <w:rPr>
          <w:b/>
        </w:rPr>
        <w:t>E. 4.4</w:t>
      </w:r>
    </w:p>
    <w:p>
      <w:r>
        <w:t>Auf die Beschwerde ist somit mangels hinreichender Begründung nicht einzutreten ( Art. 108 Abs. 1 lit. b BGG in Verbindung mit Art. 117 BGG ).</w:t>
      </w:r>
    </w:p>
    <w:p>
      <w:r>
        <w:rPr>
          <w:b/>
        </w:rPr>
        <w:t>E. 5</w:t>
      </w:r>
    </w:p>
    <w:p>
      <w:r>
        <w:t>Bei diesem Ausgang des Verfahrens sind die Gerichtskosten der Beschwerdeführerin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