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 137/2008 vom 16. Februar 2009</w:t>
      </w:r>
    </w:p>
    <w:p>
      <w:r>
        <w:t>Bundesgericht, 2009-02-16, DE</w:t>
      </w:r>
    </w:p>
    <w:p>
      <w:r>
        <w:rPr>
          <w:b/>
        </w:rPr>
        <w:t xml:space="preserve">Quelle: </w:t>
      </w:r>
      <w:r>
        <w:t>https://mcp.opencaselaw.ch/entscheid/bger_4D_137_2008</w:t>
      </w:r>
    </w:p>
    <w:p>
      <w:r>
        <w:t>FR: TF 4D 137/2008 du 16 février 2009</w:t>
      </w:r>
    </w:p>
    <w:p>
      <w:r>
        <w:t>IT: TF 4D 137/2008 del 16 febbraio 2009</w:t>
      </w:r>
    </w:p>
    <w:p>
      <w:pPr>
        <w:pStyle w:val="Heading2"/>
      </w:pPr>
      <w:r>
        <w:t>Regeste</w:t>
      </w:r>
    </w:p>
    <w:p>
      <w:r>
        <w:t>Geschäftsführung ohne Auftrag | Vertragsrecht</w:t>
      </w:r>
    </w:p>
    <w:p>
      <w:pPr>
        <w:pStyle w:val="Heading2"/>
      </w:pPr>
      <w:r>
        <w:t>Erwägungen</w:t>
      </w:r>
    </w:p>
    <w:p>
      <w:r>
        <w:rPr>
          <w:b/>
        </w:rPr>
        <w:t>E. 1</w:t>
      </w:r>
    </w:p>
    <w:p>
      <w:r>
        <w:t>Vorliegend geht es um eine vermögensrechtliche Angelegenheit mit einem Streitwert von Fr. 3'759.15. Gegen den angefochtenen Entscheid ist daher die Beschwerde in Zivilsachen ausgeschlossen ( Art. 74 Abs. 1 lit. b BGG ), und die erhobene subsidiäre Verfassungsbeschwerde erweist sich als zulässig ( Art. 113 BGG ). Mit Verfassungsbeschwerde kann nur die Verletzung verfassungsmässiger Rechte gerügt werden ( Art. 116 BGG ). Der Beschwerdeführer rügt eine Verletzung seines Anspruchs auf rechtliches Gehör und des Willkürverbots.</w:t>
      </w:r>
    </w:p>
    <w:p>
      <w:r>
        <w:rPr>
          <w:b/>
        </w:rPr>
        <w:t>E. 2</w:t>
      </w:r>
    </w:p>
    <w:p>
      <w:r>
        <w:t>Der Beschwerdeführer rügt als willkürlich, dass die Vorinstanz die Vorschriften von Art. 419 und 422 OR über die Geschäftsführung ohne Auftrag auf den vorliegenden Fall angewendet hat.</w:t>
      </w:r>
    </w:p>
    <w:p>
      <w:r>
        <w:rPr>
          <w:b/>
        </w:rPr>
        <w:t>E. 2.1</w:t>
      </w:r>
    </w:p>
    <w:p>
      <w:r>
        <w:t>Die Vorinstanz erwog, die juristische Person sei eine rechtliche Fiktion. Sie könne nicht selber geschäftliche Tätigkeiten entfalten wie beispielsweise telefonieren, elektronische Mails senden oder Computer bedienen. Auch wenn der Werkvertrag nicht zwischen dem Beschwerdeführer persönlich und der Beschwerdegegnerin abgeschlossen worden sei, so habe die Nutzung der Elektroinstallation seinerzeit und auch jetzt im persönlichen Interesse des Beschwerdeführers gelegen. Gemäss den Grundsätzen der Geschäftsführung ohne Auftrag könne der Geschäftsführer (Beschwerdegegnerin) vom Geschäftsherrn (Beschwerdeführer) Ersatz für die für den Letzteren nützlichen Verwendungen verlangen.</w:t>
      </w:r>
    </w:p>
    <w:p>
      <w:r>
        <w:rPr>
          <w:b/>
        </w:rPr>
        <w:t>E. 2.2</w:t>
      </w:r>
    </w:p>
    <w:p>
      <w:r>
        <w:t>Der Beschwerdeführer rügt diese Beurteilung der Vorinstanz zu Recht als unhaltbar. Der Umstand, dass die juristische Person - hier die Aktiengesellschaft A.________ AG - die Elektroinstallation nicht selber bedienen und nutzen kann, sondern letztlich der Nutzen bei den hinter der juristischen Person stehenden natürlichen Personen - hier dem Beschwerdeführer - liegt, gründet im Wesen der juristischen Person als einer rechtlichen Fiktion. Daraus kann aber nicht abgeleitet werden, der Werkvertragspartner einer juristischen Person handle gleichzeitig in Geschäftsführung ohne Auftrag für die hinter der juristischen Person stehende natürliche Person und diese schulde ihm eine Vergütung entsprechend dem vertraglichen Werklohn, wenn dieser bei der juristischen Person nicht erhältlich gemacht werden kann. Eine solche Konstruktion missachtet die rechtliche Eigenständigkeit der Aktiengesellschaft als juristische Person und kommt einem unzulässigen Haftungsdurchgriff auf den Aktionär gleich ( Art. 620 Abs. 2 OR ). Die Vorinstanz hat im Übrigen gerade selbst klar verworfen, dass die Voraussetzungen für einen ausnahmsweise statthaften Durchgriff auf den Alleinaktionär vorliegend gegeben wären, weshalb ihre Erwägungen im Ergebnis auch widersprüchlich sind. Darüber hinaus verkennt eine solche Konstruktion das Institut der Geschäftsführung ohne Auftrag. Bei der echten Geschäftsführung ohne Auftrag besorgt jemand ohne Rechtsgrund das Geschäft einer anderen Person in der Absicht, damit die Interessen dieser anderen Person zu wahren ( Art. 419 OR ; Schmid, in: Zürcher Kommentar, 3. Aufl. 1993, N. 63 ff. zu Art. 419 OR ; Weber, in: Basler Kommentar, 4. Aufl. 2007, N. 2 ff. zu Art. 419 OR ). Diese Elemente sind vorliegend nicht dargetan. So handelte die Beschwerdegegnerin nicht auftragslos, sondern aufgrund eines Vertrags mit der A.________ AG. Zwar hatte die Beschwerdegegnerin zum Beschwerdeführer keine vertragliche Bindung. Sie besorgte jedoch die Elektroinstallation in Erfüllung des zwischen der A.________ AG und ihr bestehenden Vertrags und nicht in der Absicht, ohne vertragliche Verpflichtung die Interessen des Beschwerdeführers zu wahren. Vielmehr besorgte sie das Geschäft für die A.________ AG und nahm deren Interessen wahr. Die Vorinstanz lässt schliesslich vollends unerklärt, inwiefern die Geschäftsbesorgung durch das Interesse des Beschwerdeführers geboten gewesen sein soll. Das Gebotensein der Fremdgeschäftsführung durch das Interesse des Geschäftsherrn bildet aber Kernelement der echten Geschäftsführung ohne Auftrag und Voraussetzung für einen Ersatzanspruch des Geschäftsführers ( Art. 422 OR ; Weber, a.a.O., N. 1 zu Art. 422 OR , N. 10 ff. zu Art. 419 OR ). Die Anwendung der Regeln über die Geschäftsführung ohne Auftrag ( Art. 419 und 422 OR ) auf den vorliegenden Fall erweist sich demzufolge als unhaltbar und damit willkürlich.</w:t>
      </w:r>
    </w:p>
    <w:p>
      <w:r>
        <w:rPr>
          <w:b/>
        </w:rPr>
        <w:t>E. 3</w:t>
      </w:r>
    </w:p>
    <w:p>
      <w:r>
        <w:t>Da das angefochtene Urteil aufgrund des begründeten Willkürvorwurfs aufzuheben ist, erübrigt es sich zu prüfen, ob weiter eine Verletzung des rechtlichen Gehörs vorliegt.</w:t>
      </w:r>
    </w:p>
    <w:p>
      <w:r>
        <w:rPr>
          <w:b/>
        </w:rPr>
        <w:t>E. 4</w:t>
      </w:r>
    </w:p>
    <w:p>
      <w:r>
        <w:t>Die Beschwerde ist demnach gutzuheissen, das angefochtene Urteil aufzuheben und die Klage abzuweisen. Ferner ist die Sache zur Neuregelung der Kosten- und Entschädigungsfolgen des kantonalen Verfahrens an die Vorinstanz zurückzuweisen ( Art. 67 und 68 Abs. 5 BGG ). Bei diesem Verfahrensausgang wird die Beschwerdegegnerin für das bundesgerichtliche Verfahren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