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133/2024 vom 7. Februar 2025</w:t>
      </w:r>
    </w:p>
    <w:p>
      <w:r>
        <w:t>Bundesgericht, 2025-02-07, DE</w:t>
      </w:r>
    </w:p>
    <w:p>
      <w:r>
        <w:rPr>
          <w:b/>
        </w:rPr>
        <w:t xml:space="preserve">Quelle: </w:t>
      </w:r>
      <w:r>
        <w:t>https://mcp.opencaselaw.ch/entscheid/bger_4D_133_2024</w:t>
      </w:r>
    </w:p>
    <w:p>
      <w:r>
        <w:t>FR: TF 4D 133/2024 du 7 février 2025</w:t>
      </w:r>
    </w:p>
    <w:p>
      <w:r>
        <w:t>IT: TF 4D 133/2024 del 7 febbraio 2025</w:t>
      </w:r>
    </w:p>
    <w:p>
      <w:pPr>
        <w:pStyle w:val="Heading2"/>
      </w:pPr>
      <w:r>
        <w:t>Regeste</w:t>
      </w:r>
    </w:p>
    <w:p>
      <w:r>
        <w:t>Rechtsöffnung, | Schuldbetreibungs- und Konkursrecht</w:t>
      </w:r>
    </w:p>
    <w:p>
      <w:pPr>
        <w:pStyle w:val="Heading2"/>
      </w:pPr>
      <w:r>
        <w:t>Erwägungen</w:t>
      </w:r>
    </w:p>
    <w:p>
      <w:r>
        <w:rPr>
          <w:b/>
        </w:rPr>
        <w:t>E. 1</w:t>
      </w:r>
    </w:p>
    <w:p>
      <w:r>
        <w:t>Mit Eingabe vom 12. August 2024 erhob der Beschwerdeführer Beschwerde beim Bundesgericht gegen das Urteil des Obergerichts des Kantons Solothurn, Zivilkammer, vom 24. Juli 2024. Darin beantragt er die Aufhebung der vorinstanzlichen Urteile, ohne indessen diesen Antrag zu begründen. Zugleich ersucht er um Bewilligung der unentgeltlichen Prozessführung und um Einsetzung von Rechtsanwalt C.________ als unentgeltlicher Rechtsbeistand. Zur Begründung seines Gesuchs verweist er auf seine Mittellosigkeit und seine Erkrankung. Mit Schreiben vom 4. September 2024 teilte das Bundesgericht dem Beschwerdeführer mit, dass die unentgeltliche Rechtspflege Mittellosigkeit des Gesuchstellers und fehlende Aussichtslosigkeit des Rechtsmittels voraussetze. Das Bundesgericht könne die Erfolgsaussichten einer Beschwerde nur aufgrund einer begründeten Beschwerdeschrift beurteilen. Weiter wies das Bundesgericht den Beschwerdeführer darauf hin, dass es an ihm liege, einen Rechtsanwalt beizuziehen, der danach um Bestellung als unentgeltlicher Rechtsbeistand ersuchen könne. Schliesslich wies das Bundesgericht den Beschwerdeführer darauf hin, dass er die Beschwerde nur innerhalb der nicht erstreckbaren Beschwerdefrist ergänzen könne. In der Folge reichte der Beschwerdeführer keine weitere Eingabe mehr ein. Es wurden keine Vernehmlassungen eingeholt.</w:t>
      </w:r>
    </w:p>
    <w:p>
      <w:r>
        <w:rPr>
          <w:b/>
        </w:rPr>
        <w:t>E. 2</w:t>
      </w:r>
    </w:p>
    <w:p>
      <w:r>
        <w:t>Das Bundesgericht prüft von Amtes wegen und mit freier Kognition, ob ein Rechtsmittel zulässig ist ( Art. 29 Abs. 1 BGG ; BGE 150 III 248 E. 1; 149 III 277 E. 3.1; 148 IV 155 E. 1.1).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2.2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2.3</w:t>
      </w:r>
    </w:p>
    <w:p>
      <w:r>
        <w:t>Dem Rechtsstreit liegt eine Zahlungsvereinbarung zugrunde, die der Beschwerdeführer unterzeichnet haben soll. Die beiden kantonalen Vorinstanzen qualifizierten dieses Schreiben als provisorischen Rechtsöffnungstitel. Der Beschwerdeführer äussert sich nicht zur Frage, warum diese Beurteilung falsch sein soll. Folglich setzt er sich nicht rechtsgenügend mit dem angefochtenen Urteil auseinander.</w:t>
      </w:r>
    </w:p>
    <w:p>
      <w:r>
        <w:rPr>
          <w:b/>
        </w:rPr>
        <w:t>E. 2.4</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Damit wird das Gesuch um Befreiung von diesen Kosten im bundesgerichtlichen Verfahren gegenstandslos.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