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4D_131/2025 vom 29. Oktober 2025</w:t>
      </w:r>
    </w:p>
    <w:p>
      <w:r>
        <w:t>Bundesgericht, 2025-10-29, DE</w:t>
      </w:r>
    </w:p>
    <w:p>
      <w:r>
        <w:rPr>
          <w:b/>
        </w:rPr>
        <w:t xml:space="preserve">Quelle: </w:t>
      </w:r>
      <w:r>
        <w:t>https://mcp.opencaselaw.ch/entscheid/bger_4D_131_2025</w:t>
      </w:r>
    </w:p>
    <w:p>
      <w:r>
        <w:t>FR: TF 4D_131/2025 du 29 octobre 2025</w:t>
      </w:r>
    </w:p>
    <w:p>
      <w:r>
        <w:t>IT: TF 4D_131/2025 del 29 ottobre 2025</w:t>
      </w:r>
    </w:p>
    <w:p>
      <w:pPr>
        <w:pStyle w:val="Heading2"/>
      </w:pPr>
      <w:r>
        <w:t>Erwägungen</w:t>
      </w:r>
    </w:p>
    <w:p>
      <w:r>
        <w:rPr>
          <w:b/>
        </w:rPr>
        <w:t>E. 1</w:t>
      </w:r>
    </w:p>
    <w:p>
      <w:r>
        <w:t>Das Obergericht des Kantons Solothurn wies mit Entscheid vom 4. Juni 2025 die Beschwerde des Beschwerdeführers gegen das Urteil des Amtsgerichts Olten-Gösgen vom 15. November 2024 ab, soweit es darauf eintrat. Dagegen erhebt der Beschwerdeführer mit Eingabe vom 17. Juli 2025 Beschwerde an das Bundesgericht.</w:t>
      </w:r>
    </w:p>
    <w:p>
      <w:r>
        <w:t>Mit Verfügung vom 21. Juli 2025 wies das Bundesgericht das Gesuch des Beschwerdeführers um Gewährung der aufschiebenden Wirkung ab, da es nicht begründet worden ist.</w:t>
      </w:r>
    </w:p>
    <w:p>
      <w:r>
        <w:t>Auf das Einholen von Vernehmlassungen zur Beschwerde wurde verzichtet.</w:t>
      </w:r>
    </w:p>
    <w:p>
      <w:r>
        <w:rPr>
          <w:b/>
        </w:rPr>
        <w:t>E. 2</w:t>
      </w:r>
    </w:p>
    <w:p>
      <w:r>
        <w:t>Das Begehren des Beschwerdeführers, mit dem das ganze Bundesgericht aufgrund der in Betreibung gesetzten Forderung der direkten Bundessteuer pauschal und unsubstanziiert abgelehnt wird, ist offensichtlich unzulässig (Urteile 4D_73/2023 vom 5. Februar 2024 E. 4; 5D_150/2023 vom 28. September 2023 E. 2.1.1; 5A_489/2017 vom 29. November 2017 E. 3.3; 5A_205/2017 vom 11. Mai 2017 E. 3; je mit Hinweisen). Auf die Vorbehalte gegen die für das Steuerrecht zuständige Abteilung des Bundesgerichts ist ebenfalls nicht weiter einzugehen, da für das Rechtsgebiet der definitiven Rechtsöffnung die Erste zivilrechtliche Abteilung zuständig ist ( Art. 33 Abs. 1 lit. i BGerR ).</w:t>
      </w:r>
    </w:p>
    <w:p>
      <w:r>
        <w:rPr>
          <w:b/>
        </w:rPr>
        <w:t>E. 3</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