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131/2009 vom 16. Dezember 2009</w:t>
      </w:r>
    </w:p>
    <w:p>
      <w:r>
        <w:t>Bundesgericht, 2009-12-16, FR</w:t>
      </w:r>
    </w:p>
    <w:p>
      <w:r>
        <w:rPr>
          <w:b/>
        </w:rPr>
        <w:t xml:space="preserve">Quelle: </w:t>
      </w:r>
      <w:r>
        <w:t>https://mcp.opencaselaw.ch/entscheid/bger_4D_131_2009</w:t>
      </w:r>
    </w:p>
    <w:p>
      <w:r>
        <w:t>FR: TF 4D 131/2009 du 16 décembre 2009</w:t>
      </w:r>
    </w:p>
    <w:p>
      <w:r>
        <w:t>IT: TF 4D 131/2009 del 16 dicembre 2009</w:t>
      </w:r>
    </w:p>
    <w:p>
      <w:pPr>
        <w:pStyle w:val="Heading2"/>
      </w:pPr>
      <w:r>
        <w:t>Regeste</w:t>
      </w:r>
    </w:p>
    <w:p>
      <w:r>
        <w:t>contrat d'architecte | Droit des contrats</w:t>
      </w:r>
    </w:p>
    <w:p>
      <w:pPr>
        <w:pStyle w:val="Heading2"/>
      </w:pPr>
      <w:r>
        <w:t>Erwägungen</w:t>
      </w:r>
    </w:p>
    <w:p>
      <w:r>
        <w:rPr>
          <w:b/>
        </w:rPr>
        <w:t>E. 1.1</w:t>
      </w:r>
    </w:p>
    <w:p>
      <w:r>
        <w:t>Devant l'autorité précédente, la recourante a pris une conclusion libératoire (la demande principale de l'intimé, visant à ce que la recourante lui verse le montant de 12'745 fr. 95, ayant été suivie par le tribunal de première instance) et une conclusion reconventionnelle (visant à obtenir de l'intimé le paiement d'un montant de 29'000 fr.). Dans le calcul de la valeur litigieuse, le montant d'une demande reconventionnelle et celui de la demande principale ne sont pas additionnés ( art. 53 al. 1 LTF ). L' art. 53 al. 2 LTF consacre la recevabilité du recours par attraction à l'égard de la demande qui n'atteint pas la valeur litigieuse minimale prescrite à l' art. 74 al. 1 let. b LTF pour les affaires pécuniaires. L' art. 53 al. 2 LTF exige non seulement que les conclusions s'excluent, mais également que l'une au moins des demandes atteigne la valeur litigieuse minimale requise (arrêt 4A_364/2008 du 12 décembre 2008 consid. 1.3 et les références). En l'espèce, aucune des deux demandes, principale et reconventionnelle, n'atteint à elle seule le seuil de 30'000 fr. ( art. 74 al. 1 let. b LTF ), de sorte que le recours en matière civile n'est recevable ni pour l'une ni pour l'autre, l' art. 53 al. 2 LTF n'ayant pas pour objet de permettre l'addition exclue par l' art. 53 al. 1 LTF (arrêt 4A_364/2008 déjà cité consid. 1.3 et la référence). C'est donc à juste titre que la recourante a formé à titre principal un recours constitutionnel subsidiaire, puisque le recours ordinaire ne lui était pas ouvert ( art. 113 LTF ).</w:t>
      </w:r>
    </w:p>
    <w:p>
      <w:r>
        <w:rPr>
          <w:b/>
        </w:rPr>
        <w:t>E. 1.2</w:t>
      </w:r>
    </w:p>
    <w:p>
      <w:r>
        <w:t>Interjeté par la partie qui a succombé dans ses conclusions libératoire et reconventionnelle et qui a un intérêt juridique à l'annulation ou à la modification de la décision ( art. 115 LTF ), le recours déposé dans le délai (art. 117, 100 al. 1 et 45 al. 1 LTF) et la forme ( art. 42 LTF ) prévus par la loi, est en principe recevable, puisqu'il est dirigé contre une décision finale ( art. 117 et 90 LTF ) rendue par une autorité cantonale de dernière instance (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2.1</w:t>
      </w:r>
    </w:p>
    <w:p>
      <w:r>
        <w:t>Dans la partie "II. Observations préliminaires" de son mémoire (p. 5 - 12), la recourante reprend certains faits établis par le tribunal de première instance, en rappelle d'autres allégués dans la procédure cantonale et commente le rapport d'expertise. En l'absence d'une motivation circonstanciée qui permettrait de démontrer que la cour cantonale a sombré dans l'arbitraire en constatant certains points de fait, ces explications, de nature purement appellatoire, ne peuvent être prises en compte (cf. supra consid. 1.4).</w:t>
      </w:r>
    </w:p>
    <w:p>
      <w:r>
        <w:rPr>
          <w:b/>
        </w:rPr>
        <w:t>E. 2.2</w:t>
      </w:r>
    </w:p>
    <w:p>
      <w:r>
        <w:t>La recourante reproche à la cour cantonale d'avoir violé son droit d'être entendue, déduit de l' art. 29 al. 2 Cst. , de l' art. 6 ch. 1 CEDH ou encore de l'art. 14 ch. 1 du Pacte relatif aux droits civils et politiques (RS 0.103.2). Elle se borne à rappeler la jurisprudence à ce propos, mais ne livre aucune motivation permettant de comprendre en quoi son droit d'être entendue serait violé en l'espèce. A défaut de réaliser les exigences de l' art. 106 al. 2 LTF (auquel renvoie l' art. 117 LTF ), le grief est irrecevable (cf. supra consid. 1.3).</w:t>
      </w:r>
    </w:p>
    <w:p>
      <w:r>
        <w:rPr>
          <w:b/>
        </w:rPr>
        <w:t>E. 3.1</w:t>
      </w:r>
    </w:p>
    <w:p>
      <w:r>
        <w:t>La cour cantonale a jugé que l'intimé était responsable d'une partie de l'augmentation du budget initial. Se fondant sur le rapport d'expertise, elle a considéré que la part du supplément résultant directement des imprécisions et omissions de l'architecte s'élevait à 20'900 fr. Elle a admis que l'intimé n'avait alors pas renseigné exactement sa cliente sur les modifications prévisibles du budget liées aux améliorations apportées au projet initial et qu'il avait ainsi violé son obligation de diligence. Quant aux coûts liés aux adaptations techniques du projet initial (10'500 fr. et 9'900 fr.), qui correspondent à des postes ayant été également influencés par des demandes du maître de l'ouvrage, l'autorité précédente les a ajoutés par hypothèse à la somme de 20'900 fr. pour arriver à la conclusion que le total de 41'300 fr. ne représenterait qu'une hausse de 8,98 % par rapport au devis initial (de 460'000 fr.), donc un résultat en deça de la marge de tolérance de 10% reconnue en matière de devis d'architecte. La cour précédente a jugé que l'architecte était certes directement responsable d'une modeste partie du dépassement du devis initialement soumis à la recourante (le montant de 20'900 fr.), mais que le maître de l'ouvrage avait exercé une influence prépondérante sur un grand nombre de modifications et d'améliorations apportées au projet initial. La cour cantonale a retenu que l'essentiel des changements a été décidé à la demande de la recourante et qu'il lui appartient d'assumer les coûts supplémentaires en découlant. Enfin, elle a indiqué qu'aucun élément du dossier ne permet de retenir que le maître aurait été forcé de prendre des engagements financiers dépassant ses possibilités en raison des manquements secondaires que l'on peut reprocher à l'architecte. Selon l'autorité précédente, rien ne permet d'admettre que l'ouvrage, dans l'ensemble de bonne facture, était subjectivement inutile pour le maître ou dépassait les possibilités financières de ce dernier, si bien que celui-ci n'a pas subi de dommage.</w:t>
      </w:r>
    </w:p>
    <w:p>
      <w:r>
        <w:rPr>
          <w:b/>
        </w:rPr>
        <w:t>E. 3.2</w:t>
      </w:r>
    </w:p>
    <w:p>
      <w:r>
        <w:t>La recourante considère que la cour cantonale a appliqué de façon arbitraire le droit fédéral, en particulier l' art. 398 CO . Elle soutient qu'en l'espèce la marge de tolérance de 10 % n'est plus applicable, les dépassements de budget imputables au seul architecte apportant la preuve directe de la violation de son devoir de diligence. Selon elle, l'intimé doit dès lors supporter la part totale de l'augmentation du budget résultant de ses imprécisions et omissions, soit un montant de 20'900 fr. Elle ajoute que, l'expert ayant déjà pu fixer à 4,6 % du coût global de l'opération (soit 26'900 fr.) les montants à admettre pour les travaux en régie imprévisibles lors de l'établissement du cahier des charges, la marge de tolérance de 10% n'est de toute façon plus applicable et l'intimé doit supporter encore les sommes de 10'500 fr., pour les adaptations du projet résultant de ses décisions en fonction de l'évolution technique du projet, et de 9'900 fr., pour les adaptations de la qualité de finition entreprises sur décision de l'intimé. Enfin, la recourante allègue, sans toutefois présenter une quelconque argumentation, qu'il faut ajouter à ces montants les surcoûts notariaux (2'165 fr.), la contre-valeur de la malfaçon résultant de la différence de couleur du crépi des façades sur le bâtiment agrandi (2'000 fr.) et la contre-valeur résultant du retard, de trois mois, sur le planning initial (2'000 fr.).</w:t>
      </w:r>
    </w:p>
    <w:p>
      <w:r>
        <w:rPr>
          <w:b/>
        </w:rPr>
        <w:t>E. 3.3.1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rPr>
          <w:b/>
        </w:rPr>
        <w:t>E. 3.3.2</w:t>
      </w:r>
    </w:p>
    <w:p>
      <w:r>
        <w:t>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 ATF 119 II 249 consid. 3b; RAINER SCHUMACHER, Die Haftung des Architekten aus Vertrag, in: Le droit de l'architecte, 3e éd., n. 747 p. 237).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(arrêt 4C.300/2001 du 27 février 2002, consid. 2c; SCHUMACHER, op. cit., n. 748 p. 238).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 ATF 122 III 61 consid. 2a et les références). La malfaçon, évoquée par la recourante, dans l'exécution du crépi des façades pourrait en soi constituer un tel dommage (d'un montant de 2'000 fr.). La cour cantonale a cependant retenu que le maître de l'ouvrage n'avait pas établi que ce dommage était imputable à faute de l'intimé. Sur ce point, la recourante ne présente aucune motivation permettant de comprendre en quoi la décision cantonale violerait un droit de rang constitutionnel ( art. 116 LTF ) et le Tribunal fédéral ne saurait donc entrer en matière. Il en va de même pour le retard de trois mois (d'une contre-valeur de 2'000 fr., selon la recourante) sur le planning initial, la cour cantonale ayant constaté que l'on ne pouvait reprocher à l'intimé le non-respect du planning initial et la recourante ne faisant aucune critique motivée de ce constat. Les autres montants énumérés par la recourante sont tous liés à une estimation inexacte des coûts (cf. infra consid. 3.3.3), soit directement, soit indirectement (surcoûts notariaux).</w:t>
      </w:r>
    </w:p>
    <w:p>
      <w:r>
        <w:rPr>
          <w:b/>
        </w:rPr>
        <w:t>E. 3.3.3</w:t>
      </w:r>
    </w:p>
    <w:p>
      <w:r>
        <w:t>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Le préjudice peut notamment consister dans le fait que le maître aurait pu faire construire à moindres frais (arrêt 4C.300/2001 du 27 février 2002 consid. 2c; ATF 119 II 249 consid. 3b/aa p. 251/252). Il incombe au maître de l'ouvrage de prouver que, s'il avait obtenu des informations exactes, il aurait adopté un comportement différent et donc épargné certains frais (arrêt 4C.71/2003 du 27 mai 2003 consid. 3 et la référence; PASCAL PICHONNAZ, Le dépassement de devis dans le contrat d'architecte global, DC 1/2006 n. 18 p. 10). La jurisprudence a indiqué qu'il suffit en principe qu'il paraisse vraisemblable - sur la base des allégués du maître de l'ouvrage et des circonstances concrètes, ressortant du dossier et des preuves apportées - que le maître aurait pu épargner certains coûts (arrêt 4C.71/2003 du 27 mai 2003 consid. 3; arrêt 4C.82/1996 du 11 février 1998 consid. 3a; SCHUMACHER, op. cit., n. 768 p. 244).</w:t>
      </w:r>
    </w:p>
    <w:p>
      <w:r>
        <w:rPr>
          <w:b/>
        </w:rPr>
        <w:t>E. 3.3.4</w:t>
      </w:r>
    </w:p>
    <w:p>
      <w:r>
        <w:t>En l'espèce, la cour cantonale a retenu, d'une part, que la recourante n'avait pas prouvé qu'elle aurait renoncé aux travaux si elle avait été informée à temps du montant de la facture finale. D'autre part, les constatations établies par la cour cantonale ( art. 118 al. 1 LTF ) ne permettent pas de conclure que, dûment informée, la recourante aurait alors pris d'autres mesures pour épargner certains coûts. Il en ressort en effet que la recourante était décidée à arriver à la fin de la construction rapidement, malgré les nombreuses demandes d'amélioration dictées à l'architecte; elle a notamment mis sous pression ce dernier afin d'éviter que les modifications, qu'elle a elle-même requises, ne repoussent encore la fin des travaux. La cour cantonale a en plus retenu que rien ne permet d'admettre que l'ouvrage était subjectivement inutile pour le maître ou dépassait ses possibilités financières et a constaté que le résultat final était tout à fait satisfaisant. Au regard de ces circonstances concrètes et de la volonté du maître de l'ouvrage d'arriver à la fin de la rénovation coûte que coûte, il n'est pas douteux qu'il n'aurait pas adopté un comportement différent s'il avait été informé des coûts exacts des divers postes mal estimés par l'architecte dans le budget initial. On ne voit en particulier pas que la recourante ait pu prendre la décision de construire à moindre frais, puisqu'elle a, de son côté, imposé à l'architecte de nouvelles modifications coûteuses tout au long du chantier. La recourante ne tente pas de démontrer, avec une motivation circonstanciée (cf. supra consid. 1.4), que ces faits auraient été constatés arbitrairement par l'autorité précédente. Puisqu'il ressort des faits établis par la cour cantonale que la recourante n'aurait pas adopté un comportement différent si elle avait été dûment informée par l'architecte, on doit conclure, indépendamment de la problématique de la marge de tolérance de 10%, qu'aucun dommage résultant de la confiance déçue n'a été établi (cf. arrêt 4C.71/2003 du 27 mai 2003 consid. 3). On ne saurait ainsi reprocher à la cour cantonale une application arbitraire du droit fédéral.</w:t>
      </w:r>
    </w:p>
    <w:p>
      <w:r>
        <w:rPr>
          <w:b/>
        </w:rPr>
        <w:t>E. 3.4</w:t>
      </w:r>
    </w:p>
    <w:p>
      <w:r>
        <w:t>Dès lors, le recours constitutionnel subsidiaire doit être déclaré mal fondé, dans la mesure où il est recevable.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