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4D_130/2024 vom 20. November 2024</w:t>
      </w:r>
    </w:p>
    <w:p>
      <w:r>
        <w:t>Bundesgericht, 2024-11-20, DE</w:t>
      </w:r>
    </w:p>
    <w:p>
      <w:r>
        <w:rPr>
          <w:b/>
        </w:rPr>
        <w:t xml:space="preserve">Quelle: </w:t>
      </w:r>
      <w:r>
        <w:t>https://mcp.opencaselaw.ch/entscheid/bger_4D_130_2024</w:t>
      </w:r>
    </w:p>
    <w:p>
      <w:r>
        <w:t>FR: TF 4D_130/2024 du 20 novembre 2024</w:t>
      </w:r>
    </w:p>
    <w:p>
      <w:r>
        <w:t>IT: TF 4D_130/2024 del 20 novembre 2024</w:t>
      </w:r>
    </w:p>
    <w:p>
      <w:pPr>
        <w:pStyle w:val="Heading2"/>
      </w:pPr>
      <w:r>
        <w:t>Erwägungen</w:t>
      </w:r>
    </w:p>
    <w:p>
      <w:r>
        <w:rPr>
          <w:b/>
        </w:rPr>
        <w:t>E. 1</w:t>
      </w:r>
    </w:p>
    <w:p>
      <w:r>
        <w:t>Mit Entscheid vom 18. Dezember 2023 wies die Einzelrichterin des Bezirksgericht Kreuzlingen die vom Beschwerdeführer eingereichte Klage auf Zahlung von Fr. 4'712.93 nebst Zins zu 5 % seit dem 23. August 2019, Administrativkosten von Fr. 60.-- sowie die Kosten des Zahlungsbefehls von Fr. 73.30, des Vermittlungsverfahrens von Fr. 180.-- und des Urteils der Anwaltskommission von Fr. 300.-- ab. Gleichzeitig hiess die Einzelrichterin die Widerklage des Beschwerdegegners gut und verpflichtete den Beschwerdeführer zur Zahlung von Fr. 2'395.20 zuzüglich Zins zu 5 % seit 13. Mai 2018.</w:t>
      </w:r>
    </w:p>
    <w:p>
      <w:r>
        <w:t>Mit Entscheid vom 25. März 2024 wies das Obergericht des Kantons Thurgau eine vom Beschwerdeführer gegen den bezirksgerichtlichen Entscheid vom 18. Dezember 2023 erhobene Beschwerde ab, soweit es darauf eintrat. Das Obergericht erwog, der Beschwerdeführer sei seiner Begründungspflicht nicht nachgekommen, weshalb auf die Beschwerde nicht eingetreten werden könne. Im Sinne einer Eventualbegründung erwog es, selbst wenn auf die Beschwerde eingetreten werden könnte, wäre diese abzuweisen.</w:t>
      </w:r>
    </w:p>
    <w:p>
      <w:r>
        <w:t>Mit Eingabe vom 21. August 2024 erklärte der Beschwerdeführer dem Bundesgericht, das Urteil des Obergerichts des Kantons Thurgau vom 25. März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Die Eingabe des Beschwerdeführers vom 21. August 2024 erfüllt die genannten Begründungsanforderungen offensichtlich nicht. Er zeigt nicht unter Bezugnahme auf die Erwägungen des angefochtenen Urteils des Obergerichts des Kantons Thurgau vom 25. März 2024 auf, inwiefern die Vorinstanz mit ihrem Entscheid verfassungsmässige Rechte verletzt hätte. Insbesondere setzt er sich nicht mit der vorinstanzlichen Eventualbegründung auseinander, wonach die Beschwerde abzuweisen wäre, wenn auf sie eingetreten werden könnte.</w:t>
      </w:r>
    </w:p>
    <w:p>
      <w:r>
        <w:t>Auf die Beschwerde ist somit im vereinfachten Verfahren gemäss Art. 108 Abs. 1 lit. b BGG nicht einzutreten.</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