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4D_12/2024 vom 26. März 2024</w:t>
      </w:r>
    </w:p>
    <w:p>
      <w:r>
        <w:t>Bundesgericht, 2024-03-26, DE</w:t>
      </w:r>
    </w:p>
    <w:p>
      <w:r>
        <w:rPr>
          <w:b/>
        </w:rPr>
        <w:t xml:space="preserve">Quelle: </w:t>
      </w:r>
      <w:r>
        <w:t>https://mcp.opencaselaw.ch/entscheid/bger_4D_12_2024</w:t>
      </w:r>
    </w:p>
    <w:p>
      <w:r>
        <w:t>FR: TF 4D_12/2024 du 26 mars 2024</w:t>
      </w:r>
    </w:p>
    <w:p>
      <w:r>
        <w:t>IT: TF 4D_12/2024 del 26 marzo 2024</w:t>
      </w:r>
    </w:p>
    <w:p>
      <w:pPr>
        <w:pStyle w:val="Heading2"/>
      </w:pPr>
      <w:r>
        <w:t>Erwägungen</w:t>
      </w:r>
    </w:p>
    <w:p>
      <w:r>
        <w:rPr>
          <w:b/>
        </w:rPr>
        <w:t>E. 1.1</w:t>
      </w:r>
    </w:p>
    <w:p>
      <w:r>
        <w:t>Mit Entscheid vom 14. Dezember 2023 erteilte das Bezirksgericht Willisau den Beschwerdegegnern in der Betreibung Nr. 2235915 des Betreibungsamts Region Sursee gegen den Beschwerdeführer definitive Rechtsöffnung für ausstehende Staats- und Gemeindesteuern für das Jahr 2022, die Personalsteuer, die Sonderabgabe USV und Mahngebühren von Fr. 2'631.05 nebst Zins zu 3.5% seit 26. September 2023 sowie für aufgelaufene Zinsen.</w:t>
      </w:r>
    </w:p>
    <w:p>
      <w:r>
        <w:rPr>
          <w:b/>
        </w:rPr>
        <w:t>E. 1.2</w:t>
      </w:r>
    </w:p>
    <w:p>
      <w:r>
        <w:t>Mit Entscheid vom 12. Januar 2024 trat das Kantonsgericht des Kantons Luzern auf die gegen den erstinstanzlichen Rechtsöffnungsentscheid geführte Beschwerde des Beschwerdeführers mangels hinreichender Begründung nicht ein.</w:t>
      </w:r>
    </w:p>
    <w:p>
      <w:r>
        <w:rPr>
          <w:b/>
        </w:rPr>
        <w:t>E. 1.3</w:t>
      </w:r>
    </w:p>
    <w:p>
      <w:r>
        <w:t>Mit Eingabe vom 18. Januar 2024 (Postaufgabe 20. Januar 2024) erklärte der Beschwerdeführer dem Bundesgericht, den Entscheid des Kantonsgerichts des Kantons Luzern vom 12. Januar 2024 mit Beschwerde anfechten zu wollen. Er liess sich mit Eingaben vom 14. Februar und vom 18. März 2024 zu seiner Abwesenheit vernehmen.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 ff.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2.4</w:t>
      </w:r>
    </w:p>
    <w:p>
      <w:r>
        <w:t>Die Beschwerde erfüllt diese Begründungsanforderungen offensichtlich nicht. Der Beschwerdeführer geht nicht auf die Erwägungen des angefochtenen Entscheids ein. Er verkennt, dass das bundesrechtliche Verfahren auf die Frage beschränkt ist, ob die Vorinstanz durch ihren Nichteintretensentscheid verfassungsmässige Rechte verletzt hat. Es genügt nicht, vor Bundesgericht die bereits vorinstanzlich als ungenügend erachtete Begründung zu einer angeblichen Verletzung des Doppelbesteuerungsabkommens mit dem Königreich Marokko zu wiederholen und der Vorinstanz pauschal zu unterstellen, diesen Einwand ignoriert zu haben. Keine sachbezogene Begründung kann sodann in den Ausführungen gesehen werden, mit welchen der Beschwerdeführer die involvierten Behördenmitglieder des Betrugs oder der Lüge bezichtigt. Es genügt auch offensichtlich nicht, wenn der Beschwerdeführer mit Verweis auf 623 eingereichte Aktenseiten das Bundesgericht auffordert, seine Pflicht und seine Verantwortung, "die Wahrheit zu erreichen", wahrzunehmen. Er verkennt dabei, dass das Bundesgericht keine Appellationsinstanz ist, die den Prozessstoff ein drittes Mal umfassend beurteilt und die Beweiswürdigung im Lichte der Vorbringen der beschwerdeführenden Partei von Neuem vornimmt.</w:t>
      </w:r>
    </w:p>
    <w:p>
      <w:r>
        <w:rPr>
          <w:b/>
        </w:rPr>
        <w:t>E. 2.5</w:t>
      </w:r>
    </w:p>
    <w:p>
      <w:r>
        <w:t>Auf die Beschwerde ist somit mangels hinreichender Begründung nicht einzutreten ( Art. 108 Abs. 1 lit. b BGG ).</w:t>
      </w:r>
    </w:p>
    <w:p>
      <w:r>
        <w:rPr>
          <w:b/>
        </w:rPr>
        <w:t>E. 3</w:t>
      </w:r>
    </w:p>
    <w:p>
      <w:r>
        <w:t>Der Beschwerdeführer wird bei diesem Verfahrensausgang kostenpflichtig ( Art. 66 Abs. 1 BGG ). Den Beschwerdegegnern steht keine Parteientschädigungen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