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4D_129/2024 vom 18. September 2024</w:t>
      </w:r>
    </w:p>
    <w:p>
      <w:r>
        <w:t>Bundesgericht, 2024-09-18, DE</w:t>
      </w:r>
    </w:p>
    <w:p>
      <w:r>
        <w:rPr>
          <w:b/>
        </w:rPr>
        <w:t xml:space="preserve">Quelle: </w:t>
      </w:r>
      <w:r>
        <w:t>https://mcp.opencaselaw.ch/entscheid/bger_4D_129_2024</w:t>
      </w:r>
    </w:p>
    <w:p>
      <w:r>
        <w:t>FR: TF 4D_129/2024 du 18 septembre 2024</w:t>
      </w:r>
    </w:p>
    <w:p>
      <w:r>
        <w:t>IT: TF 4D_129/2024 del 18 settembre 2024</w:t>
      </w:r>
    </w:p>
    <w:p>
      <w:pPr>
        <w:pStyle w:val="Heading2"/>
      </w:pPr>
      <w:r>
        <w:t>Erwägungen</w:t>
      </w:r>
    </w:p>
    <w:p>
      <w:r>
        <w:rPr>
          <w:b/>
        </w:rPr>
        <w:t>E. 1</w:t>
      </w:r>
    </w:p>
    <w:p>
      <w:r>
        <w:t>Mit Entscheid vom 17. Juni 2024 verpflichtete der Einzelrichter des Bezirksgerichts Hochdorf den Beschwerdeführer, die 2.5-Zimmer-Wohnung im 1. Obergeschoss (xxx) der Liegenschaft in K.________ sowie den Einstellhallenplatz Nr. yyy (zzz) innert zehn Tagen seit Rechtskraft des Entscheids zu räumen, zu reinigen und zu verlassen und der Beschwerdegegnerin sämtliche Schlüssel des Mietobjekts zurückzugeben. Für den Unterlassungsfall wurde die Beschwerdegegnerin ermächtigt, für die Vollstreckung die Hilfe der Luzerner Polizei in Anspruch zu nehmen. Die Verfahrenskosten wurden dem Beschwerdeführer auferlegt. Auf eine dagegen erhobene Beschwerde trat das Kantonsgericht Luzern mit Entscheid vom 9. Juli 2024 nicht ein. Dagegen erhob der Beschwerdeführer mit Eingabe vom 14. August 2024 beim Bundesgericht Beschwerde. Auf die Einholung von Vernehmlassungen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Beschwerde des Beschwerdeführers nicht ein, weil die Beschwerdeschrift den gesetzlichen Rüge- und Begründungsanforderungen nicht genüge. Lediglich der Vollständigkeit halber hielt sie fest, dass die Beschwerde abzuweisen gewesen wäre, wenn auf sie hätte eingetreten werden können, da die Vorinstanz das Ausweisungsgesuch der Beschwerdegegnerin zu Recht gutgeheissen habe. Der Beschwerdeführer setzt sich in seiner Eingabe vom 12. Juli 2024 nicht, jedenfalls nicht hinreichend, mit den entsprechenden Erwägungen der Vorinstanz auseinander und legt namentlich nicht rechtsgenügend dar, welche Rechte diese inwiefern verletzt haben soll, indem sie auf seine kantonale Beschwerde mangels genügender Begründung nicht eintrat. Damit genügt die vorliegende Beschwerde den vorstehend (Erwägung 2) dargestellten Begründungsanforderungen offensichtlich nicht, weshalb darauf nicht eingetreten werden kann ( Art. 108 Abs. 1 lit. b BGG ).</w:t>
      </w:r>
    </w:p>
    <w:p>
      <w:r>
        <w:rPr>
          <w:b/>
        </w:rPr>
        <w:t>E. 4</w:t>
      </w:r>
    </w:p>
    <w:p>
      <w:r>
        <w:t>Dem Ausgang des Verfahrens entsprechend sind die Gerichtskosten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