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4D_127/2024 vom 5. November 2024</w:t>
      </w:r>
    </w:p>
    <w:p>
      <w:r>
        <w:t>Bundesgericht, 2024-11-05, DE</w:t>
      </w:r>
    </w:p>
    <w:p>
      <w:r>
        <w:rPr>
          <w:b/>
        </w:rPr>
        <w:t xml:space="preserve">Quelle: </w:t>
      </w:r>
      <w:r>
        <w:t>https://mcp.opencaselaw.ch/entscheid/bger_4D_127_2024</w:t>
      </w:r>
    </w:p>
    <w:p>
      <w:r>
        <w:t>FR: TF 4D_127/2024 du 5 novembre 2024</w:t>
      </w:r>
    </w:p>
    <w:p>
      <w:r>
        <w:t>IT: TF 4D_127/2024 del 5 novembre 2024</w:t>
      </w:r>
    </w:p>
    <w:p>
      <w:pPr>
        <w:pStyle w:val="Heading2"/>
      </w:pPr>
      <w:r>
        <w:t>Erwägungen</w:t>
      </w:r>
    </w:p>
    <w:p>
      <w:r>
        <w:rPr>
          <w:b/>
        </w:rPr>
        <w:t>E. 1</w:t>
      </w:r>
    </w:p>
    <w:p>
      <w:r>
        <w:t>Mit Entscheid vom 2. April 2024 wies das Bezirksgericht Baden in der Betreibung Nr. xxx des Betreibungsamtes X.________ das Rechtsöffnungsgesuch der Beschwerdeführerin gegen die Beschwerdegegner hinsichtlich der in Betreibung gesetzten Forderung im Betrag von Fr. 6'000.-- sowie Zahlungsbefehlskosten von Fr. 74.-- ab, soweit es darauf eintrat. Mit Entscheid vom 11. Juli 2024 wies das Obergericht des Kantons Aargau die von der Beschwerdeführerin gegen den Entscheid des Bezirksgerichts Baden erhobene Beschwerde ab. Mit Eingabe vom 14. August 2024 (Postaufgabe 15. August 2024) erklärt die Beschwerdeführerin dem Bundesgericht, gegen den Entscheid des Obergerichts des Kantons Aargau vom 11. Juli 2024 Beschwerde führen zu wollen. Es wurden keine Vernehmlassungen eingeholt.</w:t>
      </w:r>
    </w:p>
    <w:p>
      <w:r>
        <w:rPr>
          <w:b/>
        </w:rPr>
        <w:t>E. 2</w:t>
      </w:r>
    </w:p>
    <w:p>
      <w:r>
        <w:t>Das Bundesgericht prüft von Amtes wegen und mit freier Kognition, ob ein Rechtsmittel zulässig ist ( Art. 29 Abs. 1 BGG ; BGE 149 III 277 E. 3.1 mit Hinweisen).</w:t>
      </w:r>
    </w:p>
    <w:p>
      <w:r>
        <w:rPr>
          <w:b/>
        </w:rPr>
        <w:t>E. 2.1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w:t>
      </w:r>
    </w:p>
    <w:p>
      <w:r>
        <w:t>Die Vorinstanz wies die Beschwerde im Wesentlichen mit der Begründung ab, dass die Beschwerdeführerin keinen definitiven oder provisorischen Rechtsöffnungstitel vorlege, der behauptete mündliche Vertrag kein solcher darstelle und das Rechtsöffnungsverfahren nicht dazu diene, über den materiellen Bestand der Forderung zu entscheiden.</w:t>
      </w:r>
    </w:p>
    <w:p>
      <w:r>
        <w:rPr>
          <w:b/>
        </w:rPr>
        <w:t>E. 2.5</w:t>
      </w:r>
    </w:p>
    <w:p>
      <w:r>
        <w:t>Der subsidiären Verfassungsbeschwerde kann somit nur Erfolg beschieden sein, wenn die Beschwerdeführerin hinreichend begründet, inwiefern die Vorinstanz mit der Qualifikation des Rechtsöffnungstitels und der Abweisung des Rechtsöffnungsgesuchs verfassungsmässige Rechte verletzt hätte. Die Beschwerdeführerin begnügt sich indes damit, dem Bundesgericht ihre eigene Sicht der Dinge zum Hintergrund ihrer Forderung und zum Bestand eines mündlichen Vertrages darzulegen sowie der Vorinstanz vorzuwerfen, sie hätte auch im summarischen Verfahren alle Beweise prüfen müssen. Damit genügt sie den Anforderungen an eine hinreichende Beschwerde vor dem Bundesgericht offensichtlich nicht. Auf die Beschwerde ist somit mangels hinreichender Begründung nicht einzutreten ( Art. 108 Abs. 1 lit. b BGG ).</w:t>
      </w:r>
    </w:p>
    <w:p>
      <w:r>
        <w:rPr>
          <w:b/>
        </w:rPr>
        <w:t>E. 3</w:t>
      </w:r>
    </w:p>
    <w:p>
      <w:r>
        <w:t>Die Beschwerdeführerin wird bei diesem Verfahrensausgang kostenpflichtig ( Art. 66 Abs. 1 BGG ). Den Beschwerdegegnern ist keine Parteientschädigung zuzusprechen, da ihnen im Zusammenhang mit dem bundesgerichtlichen Revisionsverfahren kein entschädigungspflichtiger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