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4D_123/2025 vom 3. Oktober 2025</w:t>
      </w:r>
    </w:p>
    <w:p>
      <w:r>
        <w:t>Bundesgericht, 2025-10-03, DE</w:t>
      </w:r>
    </w:p>
    <w:p>
      <w:r>
        <w:rPr>
          <w:b/>
        </w:rPr>
        <w:t xml:space="preserve">Quelle: </w:t>
      </w:r>
      <w:r>
        <w:t>https://mcp.opencaselaw.ch/entscheid/bger_4D_123_2025</w:t>
      </w:r>
    </w:p>
    <w:p>
      <w:r>
        <w:t>FR: TF 4D_123/2025 du 3 octobre 2025</w:t>
      </w:r>
    </w:p>
    <w:p>
      <w:r>
        <w:t>IT: TF 4D_123/2025 del 3 ottobre 2025</w:t>
      </w:r>
    </w:p>
    <w:p>
      <w:pPr>
        <w:pStyle w:val="Heading2"/>
      </w:pPr>
      <w:r>
        <w:t>Erwägungen</w:t>
      </w:r>
    </w:p>
    <w:p>
      <w:r>
        <w:rPr>
          <w:b/>
        </w:rPr>
        <w:t>E. 1</w:t>
      </w:r>
    </w:p>
    <w:p>
      <w:r>
        <w:t>Mit Entscheid vom 15. Mai 2025 erteilte das Regionalgericht Bern-Mittelland dem Beschwerdegegner definitive Rechtsöffnung für Fr. 800.--. Betreffend Mahngebühren von Fr. 50.-- wies es sein Rechtsöffnungsgesuch ab. Dagegen erhob der Beschwerdeführer Beschwerde an das Obergericht des Kantons Bern. Dieses wies mit Entscheid vom 19. Juni 2025 die Beschwerde ab, soweit es darauf eintrat. Dagegen erhebt der Beschwerdeführer Beschwerde an das Bundesgericht. Es wurden keine Vernehmlassungen eingeholt.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sind die Gerichtskosten dem Beschwerdeführer aufzuerlegen ( Art. 66 Abs. 1 BGG ). Der Beschwerdegegner hat keinen Anspruch auf eine Parteientschädigung, da ihm mangels Einholung einer Vernehmlassung aus dem bundesgerichtlichen Verfahren kein entschädigungspflichtiger Aufwand erwachsen ist ( Art. 68 Abs. 2 und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