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4D_122/2025 vom 8. September 2025</w:t>
      </w:r>
    </w:p>
    <w:p>
      <w:r>
        <w:t>Bundesgericht, 2025-09-08, DE</w:t>
      </w:r>
    </w:p>
    <w:p>
      <w:r>
        <w:rPr>
          <w:b/>
        </w:rPr>
        <w:t xml:space="preserve">Quelle: </w:t>
      </w:r>
      <w:r>
        <w:t>https://mcp.opencaselaw.ch/entscheid/bger_4D_122_2025</w:t>
      </w:r>
    </w:p>
    <w:p>
      <w:r>
        <w:t>FR: TF 4D_122/2025 du 8 septembre 2025</w:t>
      </w:r>
    </w:p>
    <w:p>
      <w:r>
        <w:t>IT: TF 4D_122/2025 del 8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undatierter Eingabe (Posteingang: 4. Juli 2025) erhob die Beschwerdeführerin Beschwerde gegen den Beschluss des Obergerichts des Kantons Zürich vom 6. Juni 2024. Mit undatiertem Schreiben (Posteingang: 5. September 2025) erklärte die Beschwerdeführerin, sie ziehe die Beschwerde zurück.</w:t>
      </w:r>
    </w:p>
    <w:p>
      <w:r>
        <w:rPr>
          <w:b/>
        </w:rPr>
        <w:t>E. 2</w:t>
      </w:r>
    </w:p>
    <w:p>
      <w:r>
        <w:t>Aufgrund des erklärten Rückzugs ist das Verfahren als erledigt abzuschreiben ( Art. 32 Abs. 2 BGG ). Die Beschwerdeführerin wird dafür kostenpflichtig ( Art. 66 Abs. 1-3 BGG ). Dem Beschwerdegegner ist keine Parteientschädigung zuzusprechen, da ihm im Zusammenhang mit dem bundesgerichtlichen Verfahren kein entschädigungspflichtiger Aufwand entstanden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