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4D_118/2025 vom 7. November 2025</w:t>
      </w:r>
    </w:p>
    <w:p>
      <w:r>
        <w:t>Bundesgericht, 2025-11-07, FR</w:t>
      </w:r>
    </w:p>
    <w:p>
      <w:r>
        <w:rPr>
          <w:b/>
        </w:rPr>
        <w:t xml:space="preserve">Quelle: </w:t>
      </w:r>
      <w:r>
        <w:t>https://mcp.opencaselaw.ch/entscheid/bger_4D_118_2025</w:t>
      </w:r>
    </w:p>
    <w:p>
      <w:r>
        <w:t>FR: TF 4D_118/2025 du 7 novembre 2025</w:t>
      </w:r>
    </w:p>
    <w:p>
      <w:r>
        <w:t>IT: TF 4D_118/2025 del 7 novembre 2025</w:t>
      </w:r>
    </w:p>
    <w:p>
      <w:pPr>
        <w:pStyle w:val="Heading2"/>
      </w:pPr>
      <w:r>
        <w:t>Erwägungen</w:t>
      </w:r>
    </w:p>
    <w:p>
      <w:r>
        <w:rPr>
          <w:b/>
        </w:rPr>
        <w:t>E. 1</w:t>
      </w:r>
    </w:p>
    <w:p>
      <w:r>
        <w:t>Par décision du 19 novembre 2024, le Juge de paix du district de Lausanne a prononcé, "à concurrence de 1'130 fr[.], avec intérêt à 5 % l'an dès le 28 mai 2024, sous déduction de 1'130 fr., valeur au 13 septembre 2024", la mainlevée définitive de l'opposition qu'avait formée A.________ (ci-après: la poursuivie ou la recourante) au commandement de payer que lui avait fait notifier B.________ SA (ci-après: la poursuivante ou l'intimée) dans la poursuite n</w:t>
      </w:r>
    </w:p>
    <w:p>
      <w:r>
        <w:t>o xxx de l'Office des poursuites du district de Lausanne.</w:t>
      </w:r>
    </w:p>
    <w:p>
      <w:r>
        <w:t>Par arrêt du 30 juillet 2025, la Cour des poursuites et faillites du Tribunal cantonal du canton de Vaud a rejeté le recours déposé par la poursuivie à l'encontre de ladite décision.</w:t>
      </w:r>
    </w:p>
    <w:p>
      <w:r>
        <w:rPr>
          <w:b/>
        </w:rPr>
        <w:t>E. 2</w:t>
      </w:r>
    </w:p>
    <w:p>
      <w:r>
        <w:t>Contre cet arrêt, la poursuivie a formé le 18 août 2025 un recours adressé au Tribunal cantonal du canton de Vaud, qui l'a transmis au Tribunal fédéral. Il ressort dudit recours qu'elle s'oppose à la mainlevée de l'opposition litigieuse. Elle a subséquemment sollicité, en substance, l'octroi de l'assistance judiciaire.</w:t>
      </w:r>
    </w:p>
    <w:p>
      <w:r>
        <w:t>L'intimée et la cour cantonale n'ont pas été invitées à se déterminer sur le recours.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En substance, la cour cantonale a constaté que la poursuivie avait fait valoir en première instance qu'elle avait versé la somme de 1'460 fr. 60 à l'office des poursuites mais qu'elle n'avait produit aucune preuve dudit versement, de sorte que le juge de paix n'avait tenu compte que du montant de 1'130 fr. reconnu par la poursuivante. Elle a retenu que la poursuivie avait répété, en deuxième instance, qu'elle avait versé 1'460 fr. 60 mais qu'elle n'avait pas essayé de contester l'argumentation du premier juge, de sorte que son argument ne pouvait qu'être rejeté. Elle a précisé que, dans la mesure où la poursuivie aurait effectivement versé 1'460 fr. 60 à l'office des poursuites, celui-ci tiendrait compte du versement de ce montant dans la suite des opérations.</w:t>
      </w:r>
    </w:p>
    <w:p>
      <w:r>
        <w:rPr>
          <w:b/>
        </w:rPr>
        <w:t>E. 4.3</w:t>
      </w:r>
    </w:p>
    <w:p>
      <w:r>
        <w:t>La recourante se fonde sur des faits qui n'ont pas été constatés par la cour cantonale et dont elle ne sollicite pas valablement le complètement, de sorte que la Cour de céans ne saurait tenir compte de ces éléments (cf.</w:t>
      </w:r>
    </w:p>
    <w:p>
      <w:r>
        <w:t>supra consid. 4.1.2).</w:t>
      </w:r>
    </w:p>
    <w:p>
      <w:r>
        <w:t>La recourante ne forme en outre pas de grief suffisamment motivé et circonstancié de violation de ses droits constitutionnels, de sorte que sa critique et le recours sont irrecevables, ce qu'il y a lieu de constater par voie de procédure simplifiée ( art. 108 al. 1 let. b et al. 2 et art. 117 LTF ).</w:t>
      </w:r>
    </w:p>
    <w:p>
      <w:r>
        <w:rPr>
          <w:b/>
        </w:rPr>
        <w:t>E. 5</w:t>
      </w:r>
    </w:p>
    <w:p>
      <w:r>
        <w:t>Le recours étant voué à l'échec, l'une des conditions pour l'octroi de l'assistance judiciaire n'est pas remplie ( art. 64 al. 1 LTF ). Il convient dès lors de rejeter la demande d'assistance judiciaire de la recourante.</w:t>
      </w:r>
    </w:p>
    <w:p>
      <w:r>
        <w:t>Au vu des circonstances, il ne sera exceptionnellement pas perçu de frais judiciaires (art. 66 al. 1, 2de phr., LTF). Dès lors que l'intimée n'a pas été invitée à se déterminer sur le recours, il ne lui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