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4D_118/2024 vom 20. November 2024</w:t>
      </w:r>
    </w:p>
    <w:p>
      <w:r>
        <w:t>Bundesgericht, 2024-11-20, DE</w:t>
      </w:r>
    </w:p>
    <w:p>
      <w:r>
        <w:rPr>
          <w:b/>
        </w:rPr>
        <w:t xml:space="preserve">Quelle: </w:t>
      </w:r>
      <w:r>
        <w:t>https://mcp.opencaselaw.ch/entscheid/bger_4D_118_2024</w:t>
      </w:r>
    </w:p>
    <w:p>
      <w:r>
        <w:t>FR: TF 4D_118/2024 du 20 novembre 2024</w:t>
      </w:r>
    </w:p>
    <w:p>
      <w:r>
        <w:t>IT: TF 4D_118/2024 del 20 novembre 2024</w:t>
      </w:r>
    </w:p>
    <w:p>
      <w:pPr>
        <w:pStyle w:val="Heading2"/>
      </w:pPr>
      <w:r>
        <w:t>Erwägungen</w:t>
      </w:r>
    </w:p>
    <w:p>
      <w:r>
        <w:rPr>
          <w:b/>
        </w:rPr>
        <w:t>E. 1</w:t>
      </w:r>
    </w:p>
    <w:p>
      <w:r>
        <w:t>Mit Verfügung vom 26. März 2024 setzte das Obergericht des Kantons Thurgau dem Beschwerdeführer in einem von diesem eingeleiteten Beschwerdeverfahren Frist zur Leistung eines Kostenvorschusses von Fr. 500.-- an.</w:t>
      </w:r>
    </w:p>
    <w:p>
      <w:r>
        <w:t>Mit Verfügung vom 16. April 2024 setzte das Obergericht dem Beschwerdeführer eine Nachfrist an, verbunden mit der Androhung, dass bei Ausbleiben des Kostenvorschusses auf die Beschwerde nicht eingetreten werde.</w:t>
      </w:r>
    </w:p>
    <w:p>
      <w:r>
        <w:t>Mit Urteil 4D_84/2024 vom 26. Juni 2024 trat das Bundesgericht auf eine vom Beschwerdeführer gegen die Verfügungen des Obergerichts des Kantons Thurgau vom 26. März 2024 und 16. April 2024 eingereichte Beschwerde nicht ein.</w:t>
      </w:r>
    </w:p>
    <w:p>
      <w:r>
        <w:t>Mit Verfügung vom 4. Juli 2024 räumte das Obergericht des Kantons Thurgau dem Beschwerdeführer eine letzte Nachfrist von fünf Tagen ein, um den Kostenvorschuss von Fr. 500.-- zu leisten, verbunden mit der Androhung, andernfalls werde auf die Beschwerde nicht eingetreten.</w:t>
      </w:r>
    </w:p>
    <w:p>
      <w:r>
        <w:t>Mit Eingabe vom 12. Juli 2024 erklärte der Beschwerdeführer dem Bundesgericht, die Verfügung vom 4. Juli 2024 mit Beschwerde anfechten zu wollen. Mit Eingaben vom 15. und 31. Juli 2024 sowie 8. und 13. August 2024 reichte der Beschwerdeführer dem Bundesgericht Beschwerdeergänzungen ein.</w:t>
      </w:r>
    </w:p>
    <w:p>
      <w:r>
        <w:t>Am 14., 19. und 26. August 2024, 25. September 2024 sowie 2. und 3. Oktober 2024 erfolgten weitere Eingaben des Beschwerdeführers.</w:t>
      </w:r>
    </w:p>
    <w:p>
      <w:r>
        <w:t>Mit Schreiben vom 5. November 2024 bestätigte das Bundesgericht gegenüber dem Beschwerdeführer den Termin vom 11. November 2024 zur Akteneinsicht.</w:t>
      </w:r>
    </w:p>
    <w:p>
      <w:r>
        <w:t>Am 8., 11. und 12. November 2024 erfolgten weitere Eingaben des Beschwerdeführers.</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rPr>
          <w:b/>
        </w:rPr>
        <w:t>E. 2.2</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t>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2.3</w:t>
      </w:r>
    </w:p>
    <w:p>
      <w:r>
        <w:t>Bei der angefochtenen Verfügung des Obergerichts des Kantons Thurgau vom 4. Juli 2024 handelt es sich um einen Zwischenentscheid, gegen den die Beschwerde nach Art. 117 i.V.m. Art. 93 Abs. 1 lit. a BGG nur zulässig ist, wenn sie einen nicht wieder gutzumachenden Nachteil bewirken kann (die Ausnahme von Art. 93 Abs. 1 lit. b BGG fällt ausser Betracht). Der Beschwerdeführer legt jedoch nicht dar, inwiefern ihm ein Nachteil rechtlicher Natur drohen soll, der auch durch einen für ihn günstigen Entscheid in der Zukunft nicht mehr behoben werden könnte. Insbesondere zeigt er nicht konkret auf, dass er finanziell nicht in der Lage wäre, den ihm mit der angefochtenen Verfügung angesetzten Kostenvorschuss zu leisten. Die Eintretensvoraussetzungen sind daher offensichtlich nicht erfüllt.</w:t>
      </w:r>
    </w:p>
    <w:p>
      <w:r>
        <w:t>Auf die Beschwerde ist im vereinfachten Verfahren nach Art. 108 Abs. 1 lit. a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