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4D_116/2025 vom 8. Juli 2025</w:t>
      </w:r>
    </w:p>
    <w:p>
      <w:r>
        <w:t>Bundesgericht, 2025-07-08, DE</w:t>
      </w:r>
    </w:p>
    <w:p>
      <w:r>
        <w:rPr>
          <w:b/>
        </w:rPr>
        <w:t xml:space="preserve">Quelle: </w:t>
      </w:r>
      <w:r>
        <w:t>https://mcp.opencaselaw.ch/entscheid/bger_4D_116_2025</w:t>
      </w:r>
    </w:p>
    <w:p>
      <w:r>
        <w:t>FR: TF 4D_116/2025 du 8 juillet 2025</w:t>
      </w:r>
    </w:p>
    <w:p>
      <w:r>
        <w:t>IT: TF 4D_116/2025 del 8 luglio 2025</w:t>
      </w:r>
    </w:p>
    <w:p>
      <w:pPr>
        <w:pStyle w:val="Heading2"/>
      </w:pPr>
      <w:r>
        <w:t>Erwägungen</w:t>
      </w:r>
    </w:p>
    <w:p>
      <w:r>
        <w:rPr>
          <w:b/>
        </w:rPr>
        <w:t>E. 1</w:t>
      </w:r>
    </w:p>
    <w:p>
      <w:r>
        <w:t>Mit Entscheid vom 7. Mai 2025 wies das Obergericht des Kantons Bern die Beschwerde der Beschwerdeführerin gegen die Erteilung definitiver Rechtsöffnung für Fr. 18.-- nebst Zins und gegen die Verweigerung der unentgeltlichen Rechtspflege ab. Gleichzeitig wies es auch das Gesuch um unentgeltliche Rechtspflege für das Beschwerdeverfahren ab. Dagegen erhebt die Beschwerdeführerin mit Eingabe vom 24. Juni 2025 Beschwerde an das Bundesgericht.</w:t>
      </w:r>
    </w:p>
    <w:p>
      <w:r>
        <w:rPr>
          <w:b/>
        </w:rPr>
        <w:t>E. 2</w:t>
      </w:r>
    </w:p>
    <w:p>
      <w:r>
        <w:t>Das Bundesgericht prüft von Amtes wegen und mit freier Kognition, ob ein Rechtsmittel zulässig ist ( Art. 29 Abs. 1 BGG ; BGE 149 III 277 E. 3.1 mit Hinweisen).</w:t>
      </w:r>
    </w:p>
    <w:p>
      <w:r>
        <w:rPr>
          <w:b/>
        </w:rPr>
        <w:t>E. 2.1</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2.2</w:t>
      </w:r>
    </w:p>
    <w:p>
      <w:r>
        <w:t>Der angefochtene Entscheid des Obergerichts wurde der Beschwerdeführerin gemäss der Sendungsverfolgung der Post am 12. Mai 2025 zugestellt. Die dreissigtägige Frist für eine Beschwerde nach Art. 100 Abs. 1 BGG begann somit am 13. Mai 2025 zu laufen und endete am 11. Juni 2025 ( Art. 44 Abs. 1 BGG ). Die erst am 24. Juni 2025 der Post übergebene Eingabe der Beschwerdeführerin ist somit verspätet. Damit ist die Beschwerdefrist nicht eingehalten und auf die Beschwerde ist demnach schon aus diesem Grund nicht einzutreten ( Art. 108 Abs. 1 lit. a BGG ).</w:t>
      </w:r>
    </w:p>
    <w:p>
      <w:r>
        <w:rPr>
          <w:b/>
        </w:rPr>
        <w:t>E. 3</w:t>
      </w:r>
    </w:p>
    <w:p>
      <w:r>
        <w:t>Unabhängig davon erfüllt die Eingabe die Begründungsanforderungen, die an eine Beschwerde an das Bundesgericht gestellt werden ( Art. 42 Abs. 2 und Art. 106 Abs. 2 BGG ; BGE 142 III 364 E. 2.4; 140 III 86 E. 2, 115 E. 2), offensichtlich nicht. Auf die Beschwerde ist somit auch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t>Damit erübrigt sich auch der Antrag der Beschwerdeführerin, für das bundesgerichtliche Verfahren sei ein unentgeltlicher Rechtsbeistand zu benennen bzw. es sei ihrem "Pflichtverteidiger" zu erlauben, am Verfahren teilzunehmen. Die Beschwerde wurde im Übrigen nach Ablauf der Beschwerdefrist eingereicht (Erwägung 2.2), weshalb ohnehin keine Möglichkeit mehr bestand, zur fristgerechten Verbesserung der Beschwerde einen Rechtsbeistand beizuziehen.</w:t>
      </w:r>
    </w:p>
    <w:p>
      <w:r>
        <w:rPr>
          <w:b/>
        </w:rPr>
        <w:t>E. 5</w:t>
      </w:r>
    </w:p>
    <w:p>
      <w:r>
        <w:t>Bei diesem Ausgang des Verfahrens sind die Gerichtskosten der Beschwerdeführerin aufzuerlegen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